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before="0" w:lineRule="auto"/>
        <w:rPr/>
      </w:pPr>
      <w:r w:rsidDel="00000000" w:rsidR="00000000" w:rsidRPr="00000000">
        <w:rPr>
          <w:rFonts w:ascii="Calibri" w:cs="Calibri" w:eastAsia="Calibri" w:hAnsi="Calibri"/>
          <w:b w:val="1"/>
          <w:bCs w:val="1"/>
          <w:color w:val="0f434d"/>
          <w:sz w:val="64"/>
          <w:szCs w:val="64"/>
          <w:rtl w:val="0"/>
        </w:rPr>
        <w:t xml:space="preserve">Dezawa MuseCell® Platform</w:t>
      </w:r>
      <w:r w:rsidDel="00000000" w:rsidR="00000000" w:rsidRPr="00000000">
        <w:rPr>
          <w:rtl w:val="0"/>
        </w:rPr>
      </w:r>
    </w:p>
    <w:p w:rsidR="00000000" w:rsidDel="00000000" w:rsidP="00000000" w:rsidRDefault="00000000" w:rsidRPr="00000000" w14:paraId="00000002">
      <w:pPr>
        <w:spacing w:after="60" w:before="0" w:lineRule="auto"/>
        <w:rPr/>
      </w:pPr>
      <w:r w:rsidDel="00000000" w:rsidR="00000000" w:rsidRPr="00000000">
        <w:rPr>
          <w:rFonts w:ascii="Calibri" w:cs="Calibri" w:eastAsia="Calibri" w:hAnsi="Calibri"/>
          <w:b w:val="0"/>
          <w:bCs w:val="0"/>
          <w:color w:val="d7b172"/>
          <w:sz w:val="40"/>
          <w:szCs w:val="40"/>
          <w:rtl w:val="0"/>
        </w:rPr>
        <w:t xml:space="preserve">Clinician Education Series</w:t>
      </w:r>
      <w:r w:rsidDel="00000000" w:rsidR="00000000" w:rsidRPr="00000000">
        <w:rPr>
          <w:rtl w:val="0"/>
        </w:rPr>
      </w:r>
    </w:p>
    <w:p w:rsidR="00000000" w:rsidDel="00000000" w:rsidP="00000000" w:rsidRDefault="00000000" w:rsidRPr="00000000" w14:paraId="00000003">
      <w:pPr>
        <w:pBdr>
          <w:bottom w:color="d7b172" w:space="1" w:sz="10" w:val="single"/>
        </w:pBdr>
        <w:spacing w:after="80" w:before="0" w:lineRule="auto"/>
        <w:rPr/>
      </w:pPr>
      <w:r w:rsidDel="00000000" w:rsidR="00000000" w:rsidRPr="00000000">
        <w:rPr>
          <w:rtl w:val="0"/>
        </w:rPr>
      </w:r>
    </w:p>
    <w:p w:rsidR="00000000" w:rsidDel="00000000" w:rsidP="00000000" w:rsidRDefault="00000000" w:rsidRPr="00000000" w14:paraId="00000004">
      <w:pPr>
        <w:spacing w:after="240" w:before="0" w:lineRule="auto"/>
        <w:rPr/>
      </w:pPr>
      <w:r w:rsidDel="00000000" w:rsidR="00000000" w:rsidRPr="00000000">
        <w:rPr>
          <w:rtl w:val="0"/>
        </w:rPr>
      </w:r>
    </w:p>
    <w:p w:rsidR="00000000" w:rsidDel="00000000" w:rsidP="00000000" w:rsidRDefault="00000000" w:rsidRPr="00000000" w14:paraId="00000005">
      <w:pPr>
        <w:spacing w:after="80" w:before="0" w:lineRule="auto"/>
        <w:rPr/>
      </w:pPr>
      <w:r w:rsidDel="00000000" w:rsidR="00000000" w:rsidRPr="00000000">
        <w:rPr>
          <w:rFonts w:ascii="Calibri" w:cs="Calibri" w:eastAsia="Calibri" w:hAnsi="Calibri"/>
          <w:i w:val="1"/>
          <w:iCs w:val="1"/>
          <w:color w:val="4a6b72"/>
          <w:sz w:val="28"/>
          <w:szCs w:val="28"/>
          <w:rtl w:val="0"/>
        </w:rPr>
        <w:t xml:space="preserve">Science, Manufacturing, and Clinical Application</w:t>
      </w:r>
      <w:r w:rsidDel="00000000" w:rsidR="00000000" w:rsidRPr="00000000">
        <w:rPr>
          <w:rtl w:val="0"/>
        </w:rPr>
      </w:r>
    </w:p>
    <w:p w:rsidR="00000000" w:rsidDel="00000000" w:rsidP="00000000" w:rsidRDefault="00000000" w:rsidRPr="00000000" w14:paraId="00000006">
      <w:pPr>
        <w:spacing w:after="480" w:before="0" w:lineRule="auto"/>
        <w:rPr/>
      </w:pPr>
      <w:r w:rsidDel="00000000" w:rsidR="00000000" w:rsidRPr="00000000">
        <w:rPr>
          <w:rtl w:val="0"/>
        </w:rPr>
      </w:r>
    </w:p>
    <w:p w:rsidR="00000000" w:rsidDel="00000000" w:rsidP="00000000" w:rsidRDefault="00000000" w:rsidRPr="00000000" w14:paraId="00000007">
      <w:pPr>
        <w:spacing w:after="60" w:before="0" w:lineRule="auto"/>
        <w:rPr/>
      </w:pPr>
      <w:r w:rsidDel="00000000" w:rsidR="00000000" w:rsidRPr="00000000">
        <w:rPr>
          <w:rFonts w:ascii="Calibri" w:cs="Calibri" w:eastAsia="Calibri" w:hAnsi="Calibri"/>
          <w:b w:val="1"/>
          <w:bCs w:val="1"/>
          <w:color w:val="0f434d"/>
          <w:sz w:val="20"/>
          <w:szCs w:val="20"/>
          <w:rtl w:val="0"/>
        </w:rPr>
        <w:t xml:space="preserve">IMPORTANT REGULATORY NOTICE</w:t>
      </w: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d7b172" w:space="0" w:sz="4" w:val="single"/>
              <w:left w:color="d7b172" w:space="0" w:sz="6" w:val="single"/>
              <w:bottom w:color="d7b172" w:space="0" w:sz="4" w:val="single"/>
              <w:right w:color="d7b172" w:space="0" w:sz="4" w:val="single"/>
            </w:tcBorders>
            <w:shd w:fill="fdf6e8" w:val="clear"/>
            <w:tcMar>
              <w:top w:w="120.0" w:type="dxa"/>
              <w:left w:w="200.0" w:type="dxa"/>
              <w:bottom w:w="120.0" w:type="dxa"/>
              <w:right w:w="120.0" w:type="dxa"/>
            </w:tcMar>
          </w:tcPr>
          <w:p w:rsidR="00000000" w:rsidDel="00000000" w:rsidP="00000000" w:rsidRDefault="00000000" w:rsidRPr="00000000" w14:paraId="00000008">
            <w:pPr>
              <w:rPr/>
            </w:pPr>
            <w:r w:rsidDel="00000000" w:rsidR="00000000" w:rsidRPr="00000000">
              <w:rPr>
                <w:rFonts w:ascii="Calibri" w:cs="Calibri" w:eastAsia="Calibri" w:hAnsi="Calibri"/>
                <w:i w:val="1"/>
                <w:iCs w:val="1"/>
                <w:color w:val="7a5c1e"/>
                <w:sz w:val="22"/>
                <w:szCs w:val="22"/>
                <w:rtl w:val="0"/>
              </w:rPr>
              <w:t xml:space="preserve">This document is intended exclusively for licensed healthcare professionals operating within jurisdictions where Dezawa MuseCell® products may be used under applicable local regulatory frameworks. Clinical application must be conducted under ethics-reviewed and jurisdictionally approved protocols. This material does not constitute medical advice, a treatment protocol, or regulatory endorsement of any specific indication. Individual patient outcomes may vary.</w:t>
            </w:r>
            <w:r w:rsidDel="00000000" w:rsidR="00000000" w:rsidRPr="00000000">
              <w:rPr>
                <w:rtl w:val="0"/>
              </w:rPr>
            </w:r>
          </w:p>
        </w:tc>
      </w:tr>
    </w:tbl>
    <w:p w:rsidR="00000000" w:rsidDel="00000000" w:rsidP="00000000" w:rsidRDefault="00000000" w:rsidRPr="00000000" w14:paraId="00000009">
      <w:pPr>
        <w:spacing w:after="160" w:before="0" w:lineRule="auto"/>
        <w:rPr/>
      </w:pPr>
      <w:r w:rsidDel="00000000" w:rsidR="00000000" w:rsidRPr="00000000">
        <w:rPr>
          <w:rtl w:val="0"/>
        </w:rPr>
      </w:r>
    </w:p>
    <w:p w:rsidR="00000000" w:rsidDel="00000000" w:rsidP="00000000" w:rsidRDefault="00000000" w:rsidRPr="00000000" w14:paraId="0000000A">
      <w:pPr>
        <w:spacing w:after="0" w:before="0" w:lineRule="auto"/>
        <w:rPr/>
      </w:pPr>
      <w:r w:rsidDel="00000000" w:rsidR="00000000" w:rsidRPr="00000000">
        <w:rPr>
          <w:rFonts w:ascii="Calibri" w:cs="Calibri" w:eastAsia="Calibri" w:hAnsi="Calibri"/>
          <w:i w:val="1"/>
          <w:iCs w:val="1"/>
          <w:color w:val="888888"/>
          <w:sz w:val="18"/>
          <w:szCs w:val="18"/>
          <w:rtl w:val="0"/>
        </w:rPr>
        <w:t xml:space="preserve">Version 1.0  —  For Clinical Audience Use Only</w:t>
      </w:r>
      <w:r w:rsidDel="00000000" w:rsidR="00000000" w:rsidRPr="00000000">
        <w:rPr>
          <w:rtl w:val="0"/>
        </w:rPr>
      </w:r>
    </w:p>
    <w:p w:rsidR="00000000" w:rsidDel="00000000" w:rsidP="00000000" w:rsidRDefault="00000000" w:rsidRPr="00000000" w14:paraId="0000000B">
      <w:pPr>
        <w:rPr/>
      </w:pPr>
      <w:r w:rsidDel="00000000" w:rsidR="00000000" w:rsidRPr="00000000">
        <w:br w:type="page"/>
      </w: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f434d" w:space="0" w:sz="4" w:val="single"/>
              <w:left w:color="0f434d" w:space="0" w:sz="4" w:val="single"/>
              <w:bottom w:color="0f434d" w:space="0" w:sz="4" w:val="single"/>
              <w:right w:color="0f434d" w:space="0" w:sz="4" w:val="single"/>
            </w:tcBorders>
            <w:shd w:fill="0f434d" w:val="clear"/>
            <w:tcMar>
              <w:top w:w="80.0" w:type="dxa"/>
              <w:left w:w="200.0" w:type="dxa"/>
              <w:bottom w:w="80.0" w:type="dxa"/>
              <w:right w:w="120.0" w:type="dxa"/>
            </w:tcMar>
          </w:tcPr>
          <w:p w:rsidR="00000000" w:rsidDel="00000000" w:rsidP="00000000" w:rsidRDefault="00000000" w:rsidRPr="00000000" w14:paraId="0000000C">
            <w:pPr>
              <w:rPr/>
            </w:pPr>
            <w:r w:rsidDel="00000000" w:rsidR="00000000" w:rsidRPr="00000000">
              <w:rPr>
                <w:rFonts w:ascii="Calibri" w:cs="Calibri" w:eastAsia="Calibri" w:hAnsi="Calibri"/>
                <w:b w:val="1"/>
                <w:bCs w:val="1"/>
                <w:color w:val="ffffff"/>
                <w:sz w:val="20"/>
                <w:szCs w:val="20"/>
                <w:rtl w:val="0"/>
              </w:rPr>
              <w:t xml:space="preserve">CLINICIAN ORIENTATION  —  START HERE</w:t>
            </w:r>
            <w:r w:rsidDel="00000000" w:rsidR="00000000" w:rsidRPr="00000000">
              <w:rPr>
                <w:rtl w:val="0"/>
              </w:rPr>
            </w:r>
          </w:p>
        </w:tc>
      </w:tr>
    </w:tbl>
    <w:p w:rsidR="00000000" w:rsidDel="00000000" w:rsidP="00000000" w:rsidRDefault="00000000" w:rsidRPr="00000000" w14:paraId="0000000D">
      <w:pPr>
        <w:spacing w:after="80" w:before="0" w:lineRule="auto"/>
        <w:rPr/>
      </w:pPr>
      <w:r w:rsidDel="00000000" w:rsidR="00000000" w:rsidRPr="00000000">
        <w:rPr>
          <w:rtl w:val="0"/>
        </w:rPr>
      </w:r>
    </w:p>
    <w:p w:rsidR="00000000" w:rsidDel="00000000" w:rsidP="00000000" w:rsidRDefault="00000000" w:rsidRPr="00000000" w14:paraId="0000000E">
      <w:pPr>
        <w:pStyle w:val="Heading1"/>
        <w:spacing w:after="60" w:before="360" w:lineRule="auto"/>
        <w:rPr/>
      </w:pPr>
      <w:r w:rsidDel="00000000" w:rsidR="00000000" w:rsidRPr="00000000">
        <w:rPr>
          <w:rFonts w:ascii="Calibri" w:cs="Calibri" w:eastAsia="Calibri" w:hAnsi="Calibri"/>
          <w:b w:val="1"/>
          <w:bCs w:val="1"/>
          <w:color w:val="0f434d"/>
          <w:sz w:val="36"/>
          <w:szCs w:val="36"/>
          <w:rtl w:val="0"/>
        </w:rPr>
        <w:t xml:space="preserve">A Plain-Language Orientation</w:t>
      </w:r>
      <w:r w:rsidDel="00000000" w:rsidR="00000000" w:rsidRPr="00000000">
        <w:rPr>
          <w:rtl w:val="0"/>
        </w:rPr>
      </w:r>
    </w:p>
    <w:p w:rsidR="00000000" w:rsidDel="00000000" w:rsidP="00000000" w:rsidRDefault="00000000" w:rsidRPr="00000000" w14:paraId="0000000F">
      <w:pPr>
        <w:spacing w:after="120" w:before="0" w:lineRule="auto"/>
        <w:rPr/>
      </w:pPr>
      <w:r w:rsidDel="00000000" w:rsidR="00000000" w:rsidRPr="00000000">
        <w:rPr>
          <w:rFonts w:ascii="Calibri" w:cs="Calibri" w:eastAsia="Calibri" w:hAnsi="Calibri"/>
          <w:color w:val="1a1a1a"/>
          <w:sz w:val="22"/>
          <w:szCs w:val="22"/>
          <w:rtl w:val="0"/>
        </w:rPr>
        <w:t xml:space="preserve">This document covers the science, manufacturing, handling, and clinical application of Dezawa MuseCells® in depth. Before diving in, this orientation page gives you the conceptual foundation — what stem cells are, why conventional approaches have had limits, and what makes this platform different — in accessible terms.</w:t>
      </w:r>
      <w:r w:rsidDel="00000000" w:rsidR="00000000" w:rsidRPr="00000000">
        <w:rPr>
          <w:rtl w:val="0"/>
        </w:rPr>
      </w:r>
    </w:p>
    <w:p w:rsidR="00000000" w:rsidDel="00000000" w:rsidP="00000000" w:rsidRDefault="00000000" w:rsidRPr="00000000" w14:paraId="00000010">
      <w:pPr>
        <w:spacing w:after="80" w:before="0" w:lineRule="auto"/>
        <w:rPr/>
      </w:pPr>
      <w:r w:rsidDel="00000000" w:rsidR="00000000" w:rsidRPr="00000000">
        <w:rPr>
          <w:rtl w:val="0"/>
        </w:rPr>
      </w:r>
    </w:p>
    <w:p w:rsidR="00000000" w:rsidDel="00000000" w:rsidP="00000000" w:rsidRDefault="00000000" w:rsidRPr="00000000" w14:paraId="00000011">
      <w:pPr>
        <w:pStyle w:val="Heading2"/>
        <w:spacing w:after="60" w:before="280" w:lineRule="auto"/>
        <w:rPr/>
      </w:pPr>
      <w:r w:rsidDel="00000000" w:rsidR="00000000" w:rsidRPr="00000000">
        <w:rPr>
          <w:rFonts w:ascii="Calibri" w:cs="Calibri" w:eastAsia="Calibri" w:hAnsi="Calibri"/>
          <w:b w:val="1"/>
          <w:bCs w:val="1"/>
          <w:color w:val="0f434d"/>
          <w:sz w:val="28"/>
          <w:szCs w:val="28"/>
          <w:rtl w:val="0"/>
        </w:rPr>
        <w:t xml:space="preserve">What Is a Stem Cell?</w:t>
      </w:r>
      <w:r w:rsidDel="00000000" w:rsidR="00000000" w:rsidRPr="00000000">
        <w:rPr>
          <w:rtl w:val="0"/>
        </w:rPr>
      </w:r>
    </w:p>
    <w:p w:rsidR="00000000" w:rsidDel="00000000" w:rsidP="00000000" w:rsidRDefault="00000000" w:rsidRPr="00000000" w14:paraId="00000012">
      <w:pPr>
        <w:spacing w:after="120" w:before="0" w:lineRule="auto"/>
        <w:rPr/>
      </w:pPr>
      <w:r w:rsidDel="00000000" w:rsidR="00000000" w:rsidRPr="00000000">
        <w:rPr>
          <w:rFonts w:ascii="Calibri" w:cs="Calibri" w:eastAsia="Calibri" w:hAnsi="Calibri"/>
          <w:color w:val="1a1a1a"/>
          <w:sz w:val="22"/>
          <w:szCs w:val="22"/>
          <w:rtl w:val="0"/>
        </w:rPr>
        <w:t xml:space="preserve">Every cell in the body has a role: cardiac cells contract, liver cells metabolize, nerve cells transmit signals. A stem cell is a cell that has not yet committed to a role. The technical term is undifferentiated. Differentiation is the process by which a cell receives signals from its environment, or from internal programming, and becomes something specific.</w:t>
      </w:r>
      <w:r w:rsidDel="00000000" w:rsidR="00000000" w:rsidRPr="00000000">
        <w:rPr>
          <w:rtl w:val="0"/>
        </w:rPr>
      </w:r>
    </w:p>
    <w:p w:rsidR="00000000" w:rsidDel="00000000" w:rsidP="00000000" w:rsidRDefault="00000000" w:rsidRPr="00000000" w14:paraId="00000013">
      <w:pPr>
        <w:spacing w:after="120" w:before="0" w:lineRule="auto"/>
        <w:rPr/>
      </w:pPr>
      <w:r w:rsidDel="00000000" w:rsidR="00000000" w:rsidRPr="00000000">
        <w:rPr>
          <w:rFonts w:ascii="Calibri" w:cs="Calibri" w:eastAsia="Calibri" w:hAnsi="Calibri"/>
          <w:color w:val="1a1a1a"/>
          <w:sz w:val="22"/>
          <w:szCs w:val="22"/>
          <w:rtl w:val="0"/>
        </w:rPr>
        <w:t xml:space="preserve">Stem cells exist on a spectrum of potential. Some can only become a handful of related cell types — these are called multipotent. Others, called pluripotent, retain the ability to become virtually any cell type in the body.</w:t>
      </w:r>
      <w:r w:rsidDel="00000000" w:rsidR="00000000" w:rsidRPr="00000000">
        <w:rPr>
          <w:rtl w:val="0"/>
        </w:rPr>
      </w:r>
    </w:p>
    <w:p w:rsidR="00000000" w:rsidDel="00000000" w:rsidP="00000000" w:rsidRDefault="00000000" w:rsidRPr="00000000" w14:paraId="00000014">
      <w:pPr>
        <w:spacing w:after="80" w:before="0" w:lineRule="auto"/>
        <w:rPr/>
      </w:pPr>
      <w:r w:rsidDel="00000000" w:rsidR="00000000" w:rsidRPr="00000000">
        <w:rPr>
          <w:rtl w:val="0"/>
        </w:rPr>
      </w:r>
    </w:p>
    <w:p w:rsidR="00000000" w:rsidDel="00000000" w:rsidP="00000000" w:rsidRDefault="00000000" w:rsidRPr="00000000" w14:paraId="00000015">
      <w:pPr>
        <w:pStyle w:val="Heading2"/>
        <w:spacing w:after="60" w:before="280" w:lineRule="auto"/>
        <w:rPr/>
      </w:pPr>
      <w:r w:rsidDel="00000000" w:rsidR="00000000" w:rsidRPr="00000000">
        <w:rPr>
          <w:rFonts w:ascii="Calibri" w:cs="Calibri" w:eastAsia="Calibri" w:hAnsi="Calibri"/>
          <w:b w:val="1"/>
          <w:bCs w:val="1"/>
          <w:color w:val="0f434d"/>
          <w:sz w:val="28"/>
          <w:szCs w:val="28"/>
          <w:rtl w:val="0"/>
        </w:rPr>
        <w:t xml:space="preserve">Why Conventional MSC Therapies Have Had Limits</w:t>
      </w:r>
      <w:r w:rsidDel="00000000" w:rsidR="00000000" w:rsidRPr="00000000">
        <w:rPr>
          <w:rtl w:val="0"/>
        </w:rPr>
      </w:r>
    </w:p>
    <w:p w:rsidR="00000000" w:rsidDel="00000000" w:rsidP="00000000" w:rsidRDefault="00000000" w:rsidRPr="00000000" w14:paraId="00000016">
      <w:pPr>
        <w:spacing w:after="120" w:before="0" w:lineRule="auto"/>
        <w:rPr/>
      </w:pPr>
      <w:r w:rsidDel="00000000" w:rsidR="00000000" w:rsidRPr="00000000">
        <w:rPr>
          <w:rFonts w:ascii="Calibri" w:cs="Calibri" w:eastAsia="Calibri" w:hAnsi="Calibri"/>
          <w:color w:val="1a1a1a"/>
          <w:sz w:val="22"/>
          <w:szCs w:val="22"/>
          <w:rtl w:val="0"/>
        </w:rPr>
        <w:t xml:space="preserve">Mesenchymal stem cells (MSCs) were the dominant focus of stem cell research for decades. The hope was that they would differentiate into damaged tissue and drive repair. In practice, that hope was largely unmet. What MSCs actually do well is act as a temporary paracrine signaling source — releasing anti-inflammatory cytokines and growth factors that support the local environment. Think of them as a mobile pharmacy: they show up, dispense beneficial signals, and eventually are cleared by the immune system. They do not meaningfully engraft into tissue, do not differentiate into the target cell type in any reliable way, and their therapeutic effect is transient.</w:t>
      </w:r>
      <w:r w:rsidDel="00000000" w:rsidR="00000000" w:rsidRPr="00000000">
        <w:rPr>
          <w:rtl w:val="0"/>
        </w:rPr>
      </w:r>
    </w:p>
    <w:p w:rsidR="00000000" w:rsidDel="00000000" w:rsidP="00000000" w:rsidRDefault="00000000" w:rsidRPr="00000000" w14:paraId="00000017">
      <w:pPr>
        <w:spacing w:after="120" w:before="0" w:lineRule="auto"/>
        <w:rPr/>
      </w:pPr>
      <w:r w:rsidDel="00000000" w:rsidR="00000000" w:rsidRPr="00000000">
        <w:rPr>
          <w:rFonts w:ascii="Calibri" w:cs="Calibri" w:eastAsia="Calibri" w:hAnsi="Calibri"/>
          <w:color w:val="1a1a1a"/>
          <w:sz w:val="22"/>
          <w:szCs w:val="22"/>
          <w:rtl w:val="0"/>
        </w:rPr>
        <w:t xml:space="preserve">Further, conventional MSCs administered intravenously are largely trapped in the pulmonary capillary bed before reaching systemic circulation — the pulmonary first-pass effect. And because donor-derived MSCs are recognized as foreign by the host immune system, their clinical application has historically required complex matching or immunosuppression.</w:t>
      </w:r>
      <w:r w:rsidDel="00000000" w:rsidR="00000000" w:rsidRPr="00000000">
        <w:rPr>
          <w:rtl w:val="0"/>
        </w:rPr>
      </w:r>
    </w:p>
    <w:p w:rsidR="00000000" w:rsidDel="00000000" w:rsidP="00000000" w:rsidRDefault="00000000" w:rsidRPr="00000000" w14:paraId="00000018">
      <w:pPr>
        <w:spacing w:after="80" w:before="0" w:lineRule="auto"/>
        <w:rPr/>
      </w:pPr>
      <w:r w:rsidDel="00000000" w:rsidR="00000000" w:rsidRPr="00000000">
        <w:rPr>
          <w:rtl w:val="0"/>
        </w:rPr>
      </w:r>
    </w:p>
    <w:p w:rsidR="00000000" w:rsidDel="00000000" w:rsidP="00000000" w:rsidRDefault="00000000" w:rsidRPr="00000000" w14:paraId="00000019">
      <w:pPr>
        <w:pStyle w:val="Heading2"/>
        <w:spacing w:after="60" w:before="280" w:lineRule="auto"/>
        <w:rPr/>
      </w:pPr>
      <w:r w:rsidDel="00000000" w:rsidR="00000000" w:rsidRPr="00000000">
        <w:rPr>
          <w:rFonts w:ascii="Calibri" w:cs="Calibri" w:eastAsia="Calibri" w:hAnsi="Calibri"/>
          <w:b w:val="1"/>
          <w:bCs w:val="1"/>
          <w:color w:val="0f434d"/>
          <w:sz w:val="28"/>
          <w:szCs w:val="28"/>
          <w:rtl w:val="0"/>
        </w:rPr>
        <w:t xml:space="preserve">What Makes Dezawa MuseCells® Different: Three Pillars</w:t>
      </w:r>
      <w:r w:rsidDel="00000000" w:rsidR="00000000" w:rsidRPr="00000000">
        <w:rPr>
          <w:rtl w:val="0"/>
        </w:rPr>
      </w:r>
    </w:p>
    <w:p w:rsidR="00000000" w:rsidDel="00000000" w:rsidP="00000000" w:rsidRDefault="00000000" w:rsidRPr="00000000" w14:paraId="0000001A">
      <w:pPr>
        <w:spacing w:after="120" w:before="0" w:lineRule="auto"/>
        <w:rPr/>
      </w:pPr>
      <w:r w:rsidDel="00000000" w:rsidR="00000000" w:rsidRPr="00000000">
        <w:rPr>
          <w:rFonts w:ascii="Calibri" w:cs="Calibri" w:eastAsia="Calibri" w:hAnsi="Calibri"/>
          <w:color w:val="1a1a1a"/>
          <w:sz w:val="22"/>
          <w:szCs w:val="22"/>
          <w:rtl w:val="0"/>
        </w:rPr>
        <w:t xml:space="preserve">Dezawa MuseCells® are a distinct, naturally occurring subset of stem cells isolated from mesenchymal tissue. Three properties set them apart from conventional MSCs — and from other pluripotent platforms such as embryonic stem cells and iPSCs:</w:t>
      </w:r>
      <w:r w:rsidDel="00000000" w:rsidR="00000000" w:rsidRPr="00000000">
        <w:rPr>
          <w:rtl w:val="0"/>
        </w:rPr>
      </w:r>
    </w:p>
    <w:p w:rsidR="00000000" w:rsidDel="00000000" w:rsidP="00000000" w:rsidRDefault="00000000" w:rsidRPr="00000000" w14:paraId="0000001B">
      <w:pPr>
        <w:spacing w:after="40" w:before="0" w:lineRule="auto"/>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Pluripotency: They can differentiate into virtually any cell type in the body — not just mesenchymal lineages. And they do this spontaneously in vivo, in response to the local tissue environment, without genetic engineering or chemical induction.</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Homing: They actively seek out tissue damage by following sphingosine-1-phosphate (S1P), a biochemical distress signal produced by injured cells. This makes intravenous delivery clinically viable in a way it is not for conventional MSCs.</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Immune privilege: They express HLA-G and produce immunomodulatory factors that prevent rejection by the host immune system — enabling allogeneic (donor-to-patient) use without HLA matching or immunosuppressive therapy.</w:t>
      </w:r>
      <w:r w:rsidDel="00000000" w:rsidR="00000000" w:rsidRPr="00000000">
        <w:rPr>
          <w:rtl w:val="0"/>
        </w:rPr>
      </w:r>
    </w:p>
    <w:p w:rsidR="00000000" w:rsidDel="00000000" w:rsidP="00000000" w:rsidRDefault="00000000" w:rsidRPr="00000000" w14:paraId="0000001F">
      <w:pPr>
        <w:spacing w:after="80" w:before="0" w:lineRule="auto"/>
        <w:rPr/>
      </w:pPr>
      <w:r w:rsidDel="00000000" w:rsidR="00000000" w:rsidRPr="00000000">
        <w:rPr>
          <w:rtl w:val="0"/>
        </w:rPr>
      </w:r>
    </w:p>
    <w:p w:rsidR="00000000" w:rsidDel="00000000" w:rsidP="00000000" w:rsidRDefault="00000000" w:rsidRPr="00000000" w14:paraId="00000020">
      <w:pPr>
        <w:spacing w:after="120" w:before="0" w:lineRule="auto"/>
        <w:rPr/>
      </w:pPr>
      <w:r w:rsidDel="00000000" w:rsidR="00000000" w:rsidRPr="00000000">
        <w:rPr>
          <w:rFonts w:ascii="Calibri" w:cs="Calibri" w:eastAsia="Calibri" w:hAnsi="Calibri"/>
          <w:color w:val="1a1a1a"/>
          <w:sz w:val="22"/>
          <w:szCs w:val="22"/>
          <w:rtl w:val="0"/>
        </w:rPr>
        <w:t xml:space="preserve">A fourth property — non-tumorigenicity — distinguishes them from other pluripotent platforms. Despite genuine pluripotency, Muse cells do not form teratomas. This is grounded in active molecular regulation: low telomerase activity, somatic-like cell cycle gene expression, and the Let-7/Lin28 microRNA axis that keeps oncogenic targets suppressed.</w:t>
      </w:r>
      <w:r w:rsidDel="00000000" w:rsidR="00000000" w:rsidRPr="00000000">
        <w:rPr>
          <w:rtl w:val="0"/>
        </w:rPr>
      </w:r>
    </w:p>
    <w:p w:rsidR="00000000" w:rsidDel="00000000" w:rsidP="00000000" w:rsidRDefault="00000000" w:rsidRPr="00000000" w14:paraId="00000021">
      <w:pPr>
        <w:spacing w:after="80" w:before="0" w:lineRule="auto"/>
        <w:rPr/>
      </w:pPr>
      <w:r w:rsidDel="00000000" w:rsidR="00000000" w:rsidRPr="00000000">
        <w:rPr>
          <w:rtl w:val="0"/>
        </w:rPr>
      </w:r>
    </w:p>
    <w:p w:rsidR="00000000" w:rsidDel="00000000" w:rsidP="00000000" w:rsidRDefault="00000000" w:rsidRPr="00000000" w14:paraId="00000022">
      <w:pPr>
        <w:pStyle w:val="Heading2"/>
        <w:spacing w:after="60" w:before="280" w:lineRule="auto"/>
        <w:rPr/>
      </w:pPr>
      <w:r w:rsidDel="00000000" w:rsidR="00000000" w:rsidRPr="00000000">
        <w:rPr>
          <w:rFonts w:ascii="Calibri" w:cs="Calibri" w:eastAsia="Calibri" w:hAnsi="Calibri"/>
          <w:b w:val="1"/>
          <w:bCs w:val="1"/>
          <w:color w:val="0f434d"/>
          <w:sz w:val="28"/>
          <w:szCs w:val="28"/>
          <w:rtl w:val="0"/>
        </w:rPr>
        <w:t xml:space="preserve">How This Document Is Organized</w:t>
      </w:r>
      <w:r w:rsidDel="00000000" w:rsidR="00000000" w:rsidRPr="00000000">
        <w:rPr>
          <w:rtl w:val="0"/>
        </w:rPr>
      </w:r>
    </w:p>
    <w:p w:rsidR="00000000" w:rsidDel="00000000" w:rsidP="00000000" w:rsidRDefault="00000000" w:rsidRPr="00000000" w14:paraId="00000023">
      <w:pPr>
        <w:spacing w:after="120" w:before="0" w:lineRule="auto"/>
        <w:rPr/>
      </w:pPr>
      <w:r w:rsidDel="00000000" w:rsidR="00000000" w:rsidRPr="00000000">
        <w:rPr>
          <w:rFonts w:ascii="Calibri" w:cs="Calibri" w:eastAsia="Calibri" w:hAnsi="Calibri"/>
          <w:color w:val="1a1a1a"/>
          <w:sz w:val="22"/>
          <w:szCs w:val="22"/>
          <w:rtl w:val="0"/>
        </w:rPr>
        <w:t xml:space="preserve">Section 1 covers the science in depth. Sections 2 and 3 address manufacturing and handling. Section 4 covers application — including dosing, route of administration, and the relationship between Dezawa MuseCells® and the MuseSecretome™/Exosome® products. Section 5 addresses clinical precautions, contraindications, and answers the questions that most frequently arise in clinical practice.</w:t>
      </w:r>
      <w:r w:rsidDel="00000000" w:rsidR="00000000" w:rsidRPr="00000000">
        <w:rPr>
          <w:rtl w:val="0"/>
        </w:rPr>
      </w:r>
    </w:p>
    <w:p w:rsidR="00000000" w:rsidDel="00000000" w:rsidP="00000000" w:rsidRDefault="00000000" w:rsidRPr="00000000" w14:paraId="00000024">
      <w:pPr>
        <w:spacing w:after="80" w:before="0" w:lineRule="auto"/>
        <w:rPr/>
      </w:pP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d7b172" w:space="0" w:sz="4" w:val="single"/>
              <w:left w:color="d7b172" w:space="0" w:sz="6" w:val="single"/>
              <w:bottom w:color="d7b172" w:space="0" w:sz="4" w:val="single"/>
              <w:right w:color="d7b172" w:space="0" w:sz="4" w:val="single"/>
            </w:tcBorders>
            <w:shd w:fill="fdf6e8" w:val="clear"/>
            <w:tcMar>
              <w:top w:w="120.0" w:type="dxa"/>
              <w:left w:w="200.0" w:type="dxa"/>
              <w:bottom w:w="120.0" w:type="dxa"/>
              <w:right w:w="120.0" w:type="dxa"/>
            </w:tcMar>
          </w:tcPr>
          <w:p w:rsidR="00000000" w:rsidDel="00000000" w:rsidP="00000000" w:rsidRDefault="00000000" w:rsidRPr="00000000" w14:paraId="00000025">
            <w:pPr>
              <w:rPr/>
            </w:pPr>
            <w:r w:rsidDel="00000000" w:rsidR="00000000" w:rsidRPr="00000000">
              <w:rPr>
                <w:rFonts w:ascii="Calibri" w:cs="Calibri" w:eastAsia="Calibri" w:hAnsi="Calibri"/>
                <w:i w:val="1"/>
                <w:iCs w:val="1"/>
                <w:color w:val="7a5c1e"/>
                <w:sz w:val="22"/>
                <w:szCs w:val="22"/>
                <w:rtl w:val="0"/>
              </w:rPr>
              <w:t xml:space="preserve">This document is intended for licensed clinicians. The science sections are detailed by design — clinicians who have reviewed the published evidence base report that depth of mechanistic understanding is what differentiates confident, effective use from superficial application.</w:t>
            </w:r>
            <w:r w:rsidDel="00000000" w:rsidR="00000000" w:rsidRPr="00000000">
              <w:rPr>
                <w:rtl w:val="0"/>
              </w:rPr>
            </w:r>
          </w:p>
        </w:tc>
      </w:tr>
    </w:tbl>
    <w:p w:rsidR="00000000" w:rsidDel="00000000" w:rsidP="00000000" w:rsidRDefault="00000000" w:rsidRPr="00000000" w14:paraId="00000026">
      <w:pPr>
        <w:rPr/>
      </w:pPr>
      <w:r w:rsidDel="00000000" w:rsidR="00000000" w:rsidRPr="00000000">
        <w:br w:type="page"/>
      </w: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f434d" w:space="0" w:sz="4" w:val="single"/>
              <w:left w:color="0f434d" w:space="0" w:sz="4" w:val="single"/>
              <w:bottom w:color="0f434d" w:space="0" w:sz="4" w:val="single"/>
              <w:right w:color="0f434d" w:space="0" w:sz="4" w:val="single"/>
            </w:tcBorders>
            <w:shd w:fill="0f434d" w:val="clear"/>
            <w:tcMar>
              <w:top w:w="80.0" w:type="dxa"/>
              <w:left w:w="200.0" w:type="dxa"/>
              <w:bottom w:w="80.0" w:type="dxa"/>
              <w:right w:w="120.0" w:type="dxa"/>
            </w:tcMar>
          </w:tcPr>
          <w:p w:rsidR="00000000" w:rsidDel="00000000" w:rsidP="00000000" w:rsidRDefault="00000000" w:rsidRPr="00000000" w14:paraId="00000027">
            <w:pPr>
              <w:rPr/>
            </w:pPr>
            <w:r w:rsidDel="00000000" w:rsidR="00000000" w:rsidRPr="00000000">
              <w:rPr>
                <w:rFonts w:ascii="Calibri" w:cs="Calibri" w:eastAsia="Calibri" w:hAnsi="Calibri"/>
                <w:b w:val="1"/>
                <w:bCs w:val="1"/>
                <w:color w:val="ffffff"/>
                <w:sz w:val="20"/>
                <w:szCs w:val="20"/>
                <w:rtl w:val="0"/>
              </w:rPr>
              <w:t xml:space="preserve">SECTION 1  —  SCIENTIFIC FOUNDATION</w:t>
            </w:r>
            <w:r w:rsidDel="00000000" w:rsidR="00000000" w:rsidRPr="00000000">
              <w:rPr>
                <w:rtl w:val="0"/>
              </w:rPr>
            </w:r>
          </w:p>
        </w:tc>
      </w:tr>
    </w:tbl>
    <w:p w:rsidR="00000000" w:rsidDel="00000000" w:rsidP="00000000" w:rsidRDefault="00000000" w:rsidRPr="00000000" w14:paraId="00000028">
      <w:pPr>
        <w:spacing w:after="80" w:before="0" w:lineRule="auto"/>
        <w:rPr/>
      </w:pPr>
      <w:r w:rsidDel="00000000" w:rsidR="00000000" w:rsidRPr="00000000">
        <w:rPr>
          <w:rtl w:val="0"/>
        </w:rPr>
      </w:r>
    </w:p>
    <w:p w:rsidR="00000000" w:rsidDel="00000000" w:rsidP="00000000" w:rsidRDefault="00000000" w:rsidRPr="00000000" w14:paraId="00000029">
      <w:pPr>
        <w:pStyle w:val="Heading1"/>
        <w:spacing w:after="60" w:before="360" w:lineRule="auto"/>
        <w:rPr/>
      </w:pPr>
      <w:r w:rsidDel="00000000" w:rsidR="00000000" w:rsidRPr="00000000">
        <w:rPr>
          <w:rFonts w:ascii="Calibri" w:cs="Calibri" w:eastAsia="Calibri" w:hAnsi="Calibri"/>
          <w:b w:val="1"/>
          <w:bCs w:val="1"/>
          <w:color w:val="0f434d"/>
          <w:sz w:val="36"/>
          <w:szCs w:val="36"/>
          <w:rtl w:val="0"/>
        </w:rPr>
        <w:t xml:space="preserve">The Science of Dezawa MuseCells®</w:t>
      </w:r>
      <w:r w:rsidDel="00000000" w:rsidR="00000000" w:rsidRPr="00000000">
        <w:rPr>
          <w:rtl w:val="0"/>
        </w:rPr>
      </w:r>
    </w:p>
    <w:p w:rsidR="00000000" w:rsidDel="00000000" w:rsidP="00000000" w:rsidRDefault="00000000" w:rsidRPr="00000000" w14:paraId="0000002A">
      <w:pPr>
        <w:spacing w:after="120" w:before="0" w:lineRule="auto"/>
        <w:rPr/>
      </w:pPr>
      <w:r w:rsidDel="00000000" w:rsidR="00000000" w:rsidRPr="00000000">
        <w:rPr>
          <w:rFonts w:ascii="Calibri" w:cs="Calibri" w:eastAsia="Calibri" w:hAnsi="Calibri"/>
          <w:color w:val="1a1a1a"/>
          <w:sz w:val="22"/>
          <w:szCs w:val="22"/>
          <w:rtl w:val="0"/>
        </w:rPr>
        <w:t xml:space="preserve">Dezawa MuseCells® are a naturally occurring population of pluripotent stem cells first characterized by Professor Mari Dezawa at Tohoku University in 2010. Unlike engineered or reprogrammed cell therapies, these cells are isolated directly from adult mesenchymal tissues using a patented, standardized process. Their clinical utility rests on three interconnected biological pillars.</w:t>
      </w:r>
      <w:r w:rsidDel="00000000" w:rsidR="00000000" w:rsidRPr="00000000">
        <w:rPr>
          <w:rtl w:val="0"/>
        </w:rPr>
      </w:r>
    </w:p>
    <w:p w:rsidR="00000000" w:rsidDel="00000000" w:rsidP="00000000" w:rsidRDefault="00000000" w:rsidRPr="00000000" w14:paraId="0000002B">
      <w:pPr>
        <w:spacing w:after="80" w:before="0" w:lineRule="auto"/>
        <w:rPr/>
      </w:pPr>
      <w:r w:rsidDel="00000000" w:rsidR="00000000" w:rsidRPr="00000000">
        <w:rPr>
          <w:rtl w:val="0"/>
        </w:rPr>
      </w:r>
    </w:p>
    <w:p w:rsidR="00000000" w:rsidDel="00000000" w:rsidP="00000000" w:rsidRDefault="00000000" w:rsidRPr="00000000" w14:paraId="0000002C">
      <w:pPr>
        <w:pStyle w:val="Heading2"/>
        <w:spacing w:after="60" w:before="280" w:lineRule="auto"/>
        <w:rPr/>
      </w:pPr>
      <w:r w:rsidDel="00000000" w:rsidR="00000000" w:rsidRPr="00000000">
        <w:rPr>
          <w:rFonts w:ascii="Calibri" w:cs="Calibri" w:eastAsia="Calibri" w:hAnsi="Calibri"/>
          <w:b w:val="1"/>
          <w:bCs w:val="1"/>
          <w:color w:val="0f434d"/>
          <w:sz w:val="28"/>
          <w:szCs w:val="28"/>
          <w:rtl w:val="0"/>
        </w:rPr>
        <w:t xml:space="preserve">Pillar 1: Pluripotency</w:t>
      </w:r>
      <w:r w:rsidDel="00000000" w:rsidR="00000000" w:rsidRPr="00000000">
        <w:rPr>
          <w:rtl w:val="0"/>
        </w:rPr>
      </w:r>
    </w:p>
    <w:p w:rsidR="00000000" w:rsidDel="00000000" w:rsidP="00000000" w:rsidRDefault="00000000" w:rsidRPr="00000000" w14:paraId="0000002D">
      <w:pPr>
        <w:pBdr>
          <w:bottom w:color="0f434d" w:space="1" w:sz="4" w:val="single"/>
        </w:pBdr>
        <w:spacing w:after="80" w:before="0" w:lineRule="auto"/>
        <w:rPr/>
      </w:pPr>
      <w:r w:rsidDel="00000000" w:rsidR="00000000" w:rsidRPr="00000000">
        <w:rPr>
          <w:rtl w:val="0"/>
        </w:rPr>
      </w:r>
    </w:p>
    <w:p w:rsidR="00000000" w:rsidDel="00000000" w:rsidP="00000000" w:rsidRDefault="00000000" w:rsidRPr="00000000" w14:paraId="0000002E">
      <w:pPr>
        <w:spacing w:after="80" w:before="0" w:lineRule="auto"/>
        <w:rPr/>
      </w:pPr>
      <w:r w:rsidDel="00000000" w:rsidR="00000000" w:rsidRPr="00000000">
        <w:rPr>
          <w:rtl w:val="0"/>
        </w:rPr>
      </w:r>
    </w:p>
    <w:p w:rsidR="00000000" w:rsidDel="00000000" w:rsidP="00000000" w:rsidRDefault="00000000" w:rsidRPr="00000000" w14:paraId="0000002F">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What It Means</w:t>
      </w:r>
      <w:r w:rsidDel="00000000" w:rsidR="00000000" w:rsidRPr="00000000">
        <w:rPr>
          <w:rtl w:val="0"/>
        </w:rPr>
      </w:r>
    </w:p>
    <w:p w:rsidR="00000000" w:rsidDel="00000000" w:rsidP="00000000" w:rsidRDefault="00000000" w:rsidRPr="00000000" w14:paraId="00000030">
      <w:pPr>
        <w:spacing w:after="120" w:before="0" w:lineRule="auto"/>
        <w:rPr/>
      </w:pPr>
      <w:r w:rsidDel="00000000" w:rsidR="00000000" w:rsidRPr="00000000">
        <w:rPr>
          <w:rFonts w:ascii="Calibri" w:cs="Calibri" w:eastAsia="Calibri" w:hAnsi="Calibri"/>
          <w:color w:val="1a1a1a"/>
          <w:sz w:val="22"/>
          <w:szCs w:val="22"/>
          <w:rtl w:val="0"/>
        </w:rPr>
        <w:t xml:space="preserve">Pluripotency is the capacity of a single cell to give rise to any cell type in the body. Conventional mesenchymal stem cells (MSCs) are multipotent — limited to mesenchymal lineages such as bone, cartilage, and fat. Dezawa MuseCells® are pluripotent, meaning they can differentiate into cells representative of all three embryonic germ layers.</w:t>
      </w:r>
      <w:r w:rsidDel="00000000" w:rsidR="00000000" w:rsidRPr="00000000">
        <w:rPr>
          <w:rtl w:val="0"/>
        </w:rPr>
      </w:r>
    </w:p>
    <w:p w:rsidR="00000000" w:rsidDel="00000000" w:rsidP="00000000" w:rsidRDefault="00000000" w:rsidRPr="00000000" w14:paraId="00000031">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Identifying Markers</w:t>
      </w:r>
      <w:r w:rsidDel="00000000" w:rsidR="00000000" w:rsidRPr="00000000">
        <w:rPr>
          <w:rtl w:val="0"/>
        </w:rPr>
      </w:r>
    </w:p>
    <w:p w:rsidR="00000000" w:rsidDel="00000000" w:rsidP="00000000" w:rsidRDefault="00000000" w:rsidRPr="00000000" w14:paraId="00000032">
      <w:pPr>
        <w:spacing w:after="120" w:before="0" w:lineRule="auto"/>
        <w:rPr/>
      </w:pPr>
      <w:r w:rsidDel="00000000" w:rsidR="00000000" w:rsidRPr="00000000">
        <w:rPr>
          <w:rFonts w:ascii="Calibri" w:cs="Calibri" w:eastAsia="Calibri" w:hAnsi="Calibri"/>
          <w:b w:val="0"/>
          <w:bCs w:val="0"/>
          <w:i w:val="0"/>
          <w:iCs w:val="0"/>
          <w:color w:val="1a1a1a"/>
          <w:sz w:val="22"/>
          <w:szCs w:val="22"/>
          <w:rtl w:val="0"/>
        </w:rPr>
        <w:t xml:space="preserve">Dezawa MuseCells® are defined by expression of </w:t>
      </w:r>
      <w:r w:rsidDel="00000000" w:rsidR="00000000" w:rsidRPr="00000000">
        <w:rPr>
          <w:rFonts w:ascii="Calibri" w:cs="Calibri" w:eastAsia="Calibri" w:hAnsi="Calibri"/>
          <w:b w:val="1"/>
          <w:bCs w:val="1"/>
          <w:i w:val="0"/>
          <w:iCs w:val="0"/>
          <w:color w:val="1a1a1a"/>
          <w:sz w:val="22"/>
          <w:szCs w:val="22"/>
          <w:rtl w:val="0"/>
        </w:rPr>
        <w:t xml:space="preserve">SSEA-3 (Stage-Specific Embryonic Antigen-3)</w:t>
      </w:r>
      <w:r w:rsidDel="00000000" w:rsidR="00000000" w:rsidRPr="00000000">
        <w:rPr>
          <w:rFonts w:ascii="Calibri" w:cs="Calibri" w:eastAsia="Calibri" w:hAnsi="Calibri"/>
          <w:b w:val="0"/>
          <w:bCs w:val="0"/>
          <w:i w:val="0"/>
          <w:iCs w:val="0"/>
          <w:color w:val="1a1a1a"/>
          <w:sz w:val="22"/>
          <w:szCs w:val="22"/>
          <w:rtl w:val="0"/>
        </w:rPr>
        <w:t xml:space="preserve">, a surface antigen characteristic of embryonic pluripotent stem cells not found on conventional MSCs. They also co-express the pluripotency transcription factors </w:t>
      </w:r>
      <w:r w:rsidDel="00000000" w:rsidR="00000000" w:rsidRPr="00000000">
        <w:rPr>
          <w:rFonts w:ascii="Calibri" w:cs="Calibri" w:eastAsia="Calibri" w:hAnsi="Calibri"/>
          <w:b w:val="1"/>
          <w:bCs w:val="1"/>
          <w:i w:val="0"/>
          <w:iCs w:val="0"/>
          <w:color w:val="1a1a1a"/>
          <w:sz w:val="22"/>
          <w:szCs w:val="22"/>
          <w:rtl w:val="0"/>
        </w:rPr>
        <w:t xml:space="preserve">Oct3/4, SOX2, and Nanog</w:t>
      </w:r>
      <w:r w:rsidDel="00000000" w:rsidR="00000000" w:rsidRPr="00000000">
        <w:rPr>
          <w:rFonts w:ascii="Calibri" w:cs="Calibri" w:eastAsia="Calibri" w:hAnsi="Calibri"/>
          <w:b w:val="0"/>
          <w:bCs w:val="0"/>
          <w:i w:val="0"/>
          <w:iCs w:val="0"/>
          <w:color w:val="1a1a1a"/>
          <w:sz w:val="22"/>
          <w:szCs w:val="22"/>
          <w:rtl w:val="0"/>
        </w:rPr>
        <w:t xml:space="preserve"> — the same core regulators that maintain embryonic stem cell identity.</w:t>
      </w:r>
      <w:r w:rsidDel="00000000" w:rsidR="00000000" w:rsidRPr="00000000">
        <w:rPr>
          <w:rtl w:val="0"/>
        </w:rPr>
      </w:r>
    </w:p>
    <w:p w:rsidR="00000000" w:rsidDel="00000000" w:rsidP="00000000" w:rsidRDefault="00000000" w:rsidRPr="00000000" w14:paraId="00000033">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In Vivo Differentiation Capacity</w:t>
      </w:r>
      <w:r w:rsidDel="00000000" w:rsidR="00000000" w:rsidRPr="00000000">
        <w:rPr>
          <w:rtl w:val="0"/>
        </w:rPr>
      </w:r>
    </w:p>
    <w:p w:rsidR="00000000" w:rsidDel="00000000" w:rsidP="00000000" w:rsidRDefault="00000000" w:rsidRPr="00000000" w14:paraId="00000034">
      <w:pPr>
        <w:spacing w:after="120" w:before="0" w:lineRule="auto"/>
        <w:rPr/>
      </w:pPr>
      <w:r w:rsidDel="00000000" w:rsidR="00000000" w:rsidRPr="00000000">
        <w:rPr>
          <w:rFonts w:ascii="Calibri" w:cs="Calibri" w:eastAsia="Calibri" w:hAnsi="Calibri"/>
          <w:color w:val="1a1a1a"/>
          <w:sz w:val="22"/>
          <w:szCs w:val="22"/>
          <w:rtl w:val="0"/>
        </w:rPr>
        <w:t xml:space="preserve">Critically, pluripotency in Dezawa MuseCells® is functional in vivo, not merely detectable in culture. Upon homing to damaged tissue, these cells spontaneously differentiate into cell types compatible with the local microenvironment — without requiring gene manipulation, viral reprogramming, or chemical induction.</w:t>
      </w:r>
      <w:r w:rsidDel="00000000" w:rsidR="00000000" w:rsidRPr="00000000">
        <w:rPr>
          <w:rtl w:val="0"/>
        </w:rPr>
      </w:r>
    </w:p>
    <w:p w:rsidR="00000000" w:rsidDel="00000000" w:rsidP="00000000" w:rsidRDefault="00000000" w:rsidRPr="00000000" w14:paraId="00000035">
      <w:pPr>
        <w:spacing w:after="120" w:before="0" w:lineRule="auto"/>
        <w:rPr/>
      </w:pPr>
      <w:r w:rsidDel="00000000" w:rsidR="00000000" w:rsidRPr="00000000">
        <w:rPr>
          <w:rFonts w:ascii="Calibri" w:cs="Calibri" w:eastAsia="Calibri" w:hAnsi="Calibri"/>
          <w:color w:val="1a1a1a"/>
          <w:sz w:val="22"/>
          <w:szCs w:val="22"/>
          <w:rtl w:val="0"/>
        </w:rPr>
        <w:t xml:space="preserve">Published data demonstrate differentiation into:</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Ectodermal lineages: neural cells (MAP-2+), melanocytes, keratinocytes</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Mesodermal lineages: cardiomyocytes (Nkx2.5+), skeletal muscle (SMA+), glomerular cells</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Endodermal lineages: hepatocytes (α-fetoprotein+), bile duct cells (CK7+)</w:t>
      </w:r>
      <w:r w:rsidDel="00000000" w:rsidR="00000000" w:rsidRPr="00000000">
        <w:rPr>
          <w:rtl w:val="0"/>
        </w:rPr>
      </w:r>
    </w:p>
    <w:p w:rsidR="00000000" w:rsidDel="00000000" w:rsidP="00000000" w:rsidRDefault="00000000" w:rsidRPr="00000000" w14:paraId="00000039">
      <w:pPr>
        <w:spacing w:after="80" w:before="0" w:lineRule="auto"/>
        <w:rPr/>
      </w:pP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0"/>
        <w:gridCol w:w="2340"/>
        <w:gridCol w:w="2340"/>
        <w:gridCol w:w="2340"/>
        <w:tblGridChange w:id="0">
          <w:tblGrid>
            <w:gridCol w:w="2340"/>
            <w:gridCol w:w="2340"/>
            <w:gridCol w:w="2340"/>
            <w:gridCol w:w="2340"/>
          </w:tblGrid>
        </w:tblGridChange>
      </w:tblGrid>
      <w:tr>
        <w:trPr>
          <w:cantSplit w:val="0"/>
          <w:tblHeader w:val="1"/>
        </w:trPr>
        <w:tc>
          <w:tcPr>
            <w:tcBorders>
              <w:top w:color="0f434d" w:space="0" w:sz="4" w:val="single"/>
              <w:left w:color="0f434d" w:space="0" w:sz="4" w:val="single"/>
              <w:bottom w:color="0f434d" w:space="0" w:sz="4" w:val="single"/>
              <w:right w:color="0f434d" w:space="0" w:sz="4" w:val="single"/>
            </w:tcBorders>
            <w:shd w:fill="0f434d" w:val="clear"/>
            <w:tcMar>
              <w:top w:w="80.0" w:type="dxa"/>
              <w:left w:w="100.0" w:type="dxa"/>
              <w:bottom w:w="80.0" w:type="dxa"/>
              <w:right w:w="100.0" w:type="dxa"/>
            </w:tcMar>
          </w:tcPr>
          <w:p w:rsidR="00000000" w:rsidDel="00000000" w:rsidP="00000000" w:rsidRDefault="00000000" w:rsidRPr="00000000" w14:paraId="0000003A">
            <w:pPr>
              <w:jc w:val="center"/>
              <w:rPr/>
            </w:pPr>
            <w:r w:rsidDel="00000000" w:rsidR="00000000" w:rsidRPr="00000000">
              <w:rPr>
                <w:rFonts w:ascii="Calibri" w:cs="Calibri" w:eastAsia="Calibri" w:hAnsi="Calibri"/>
                <w:b w:val="1"/>
                <w:bCs w:val="1"/>
                <w:color w:val="ffffff"/>
                <w:sz w:val="20"/>
                <w:szCs w:val="20"/>
                <w:rtl w:val="0"/>
              </w:rPr>
              <w:t xml:space="preserve">Property</w:t>
            </w:r>
            <w:r w:rsidDel="00000000" w:rsidR="00000000" w:rsidRPr="00000000">
              <w:rPr>
                <w:rtl w:val="0"/>
              </w:rPr>
            </w:r>
          </w:p>
        </w:tc>
        <w:tc>
          <w:tcPr>
            <w:tcBorders>
              <w:top w:color="0f434d" w:space="0" w:sz="4" w:val="single"/>
              <w:left w:color="0f434d" w:space="0" w:sz="4" w:val="single"/>
              <w:bottom w:color="0f434d" w:space="0" w:sz="4" w:val="single"/>
              <w:right w:color="0f434d" w:space="0" w:sz="4" w:val="single"/>
            </w:tcBorders>
            <w:shd w:fill="0f434d" w:val="clear"/>
            <w:tcMar>
              <w:top w:w="80.0" w:type="dxa"/>
              <w:left w:w="100.0" w:type="dxa"/>
              <w:bottom w:w="80.0" w:type="dxa"/>
              <w:right w:w="100.0" w:type="dxa"/>
            </w:tcMar>
          </w:tcPr>
          <w:p w:rsidR="00000000" w:rsidDel="00000000" w:rsidP="00000000" w:rsidRDefault="00000000" w:rsidRPr="00000000" w14:paraId="0000003B">
            <w:pPr>
              <w:jc w:val="center"/>
              <w:rPr/>
            </w:pPr>
            <w:r w:rsidDel="00000000" w:rsidR="00000000" w:rsidRPr="00000000">
              <w:rPr>
                <w:rFonts w:ascii="Calibri" w:cs="Calibri" w:eastAsia="Calibri" w:hAnsi="Calibri"/>
                <w:b w:val="1"/>
                <w:bCs w:val="1"/>
                <w:color w:val="ffffff"/>
                <w:sz w:val="20"/>
                <w:szCs w:val="20"/>
                <w:rtl w:val="0"/>
              </w:rPr>
              <w:t xml:space="preserve">Dezawa MuseCells®</w:t>
            </w:r>
            <w:r w:rsidDel="00000000" w:rsidR="00000000" w:rsidRPr="00000000">
              <w:rPr>
                <w:rtl w:val="0"/>
              </w:rPr>
            </w:r>
          </w:p>
        </w:tc>
        <w:tc>
          <w:tcPr>
            <w:tcBorders>
              <w:top w:color="0f434d" w:space="0" w:sz="4" w:val="single"/>
              <w:left w:color="0f434d" w:space="0" w:sz="4" w:val="single"/>
              <w:bottom w:color="0f434d" w:space="0" w:sz="4" w:val="single"/>
              <w:right w:color="0f434d" w:space="0" w:sz="4" w:val="single"/>
            </w:tcBorders>
            <w:shd w:fill="0f434d" w:val="clear"/>
            <w:tcMar>
              <w:top w:w="80.0" w:type="dxa"/>
              <w:left w:w="100.0" w:type="dxa"/>
              <w:bottom w:w="80.0" w:type="dxa"/>
              <w:right w:w="100.0" w:type="dxa"/>
            </w:tcMar>
          </w:tcPr>
          <w:p w:rsidR="00000000" w:rsidDel="00000000" w:rsidP="00000000" w:rsidRDefault="00000000" w:rsidRPr="00000000" w14:paraId="0000003C">
            <w:pPr>
              <w:jc w:val="center"/>
              <w:rPr/>
            </w:pPr>
            <w:r w:rsidDel="00000000" w:rsidR="00000000" w:rsidRPr="00000000">
              <w:rPr>
                <w:rFonts w:ascii="Calibri" w:cs="Calibri" w:eastAsia="Calibri" w:hAnsi="Calibri"/>
                <w:b w:val="1"/>
                <w:bCs w:val="1"/>
                <w:color w:val="ffffff"/>
                <w:sz w:val="20"/>
                <w:szCs w:val="20"/>
                <w:rtl w:val="0"/>
              </w:rPr>
              <w:t xml:space="preserve">Traditional MSCs</w:t>
            </w:r>
            <w:r w:rsidDel="00000000" w:rsidR="00000000" w:rsidRPr="00000000">
              <w:rPr>
                <w:rtl w:val="0"/>
              </w:rPr>
            </w:r>
          </w:p>
        </w:tc>
        <w:tc>
          <w:tcPr>
            <w:tcBorders>
              <w:top w:color="0f434d" w:space="0" w:sz="4" w:val="single"/>
              <w:left w:color="0f434d" w:space="0" w:sz="4" w:val="single"/>
              <w:bottom w:color="0f434d" w:space="0" w:sz="4" w:val="single"/>
              <w:right w:color="0f434d" w:space="0" w:sz="4" w:val="single"/>
            </w:tcBorders>
            <w:shd w:fill="0f434d" w:val="clear"/>
            <w:tcMar>
              <w:top w:w="80.0" w:type="dxa"/>
              <w:left w:w="100.0" w:type="dxa"/>
              <w:bottom w:w="80.0" w:type="dxa"/>
              <w:right w:w="100.0" w:type="dxa"/>
            </w:tcMar>
          </w:tcPr>
          <w:p w:rsidR="00000000" w:rsidDel="00000000" w:rsidP="00000000" w:rsidRDefault="00000000" w:rsidRPr="00000000" w14:paraId="0000003D">
            <w:pPr>
              <w:jc w:val="center"/>
              <w:rPr/>
            </w:pPr>
            <w:r w:rsidDel="00000000" w:rsidR="00000000" w:rsidRPr="00000000">
              <w:rPr>
                <w:rFonts w:ascii="Calibri" w:cs="Calibri" w:eastAsia="Calibri" w:hAnsi="Calibri"/>
                <w:b w:val="1"/>
                <w:bCs w:val="1"/>
                <w:color w:val="ffffff"/>
                <w:sz w:val="20"/>
                <w:szCs w:val="20"/>
                <w:rtl w:val="0"/>
              </w:rPr>
              <w:t xml:space="preserve">ESCs / iPSCs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7f8" w:val="clear"/>
            <w:tcMar>
              <w:top w:w="60.0" w:type="dxa"/>
              <w:left w:w="100.0" w:type="dxa"/>
              <w:bottom w:w="60.0" w:type="dxa"/>
              <w:right w:w="100.0" w:type="dxa"/>
            </w:tcMar>
          </w:tcPr>
          <w:p w:rsidR="00000000" w:rsidDel="00000000" w:rsidP="00000000" w:rsidRDefault="00000000" w:rsidRPr="00000000" w14:paraId="0000003E">
            <w:pPr>
              <w:jc w:val="center"/>
              <w:rPr/>
            </w:pPr>
            <w:r w:rsidDel="00000000" w:rsidR="00000000" w:rsidRPr="00000000">
              <w:rPr>
                <w:rFonts w:ascii="Calibri" w:cs="Calibri" w:eastAsia="Calibri" w:hAnsi="Calibri"/>
                <w:b w:val="0"/>
                <w:bCs w:val="0"/>
                <w:color w:val="1a1a1a"/>
                <w:sz w:val="20"/>
                <w:szCs w:val="20"/>
                <w:rtl w:val="0"/>
              </w:rPr>
              <w:t xml:space="preserve">Pluripotency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7f8" w:val="clear"/>
            <w:tcMar>
              <w:top w:w="60.0" w:type="dxa"/>
              <w:left w:w="100.0" w:type="dxa"/>
              <w:bottom w:w="60.0" w:type="dxa"/>
              <w:right w:w="100.0" w:type="dxa"/>
            </w:tcMar>
          </w:tcPr>
          <w:p w:rsidR="00000000" w:rsidDel="00000000" w:rsidP="00000000" w:rsidRDefault="00000000" w:rsidRPr="00000000" w14:paraId="0000003F">
            <w:pPr>
              <w:jc w:val="center"/>
              <w:rPr/>
            </w:pPr>
            <w:r w:rsidDel="00000000" w:rsidR="00000000" w:rsidRPr="00000000">
              <w:rPr>
                <w:rFonts w:ascii="Calibri" w:cs="Calibri" w:eastAsia="Calibri" w:hAnsi="Calibri"/>
                <w:b w:val="0"/>
                <w:bCs w:val="0"/>
                <w:color w:val="1a1a1a"/>
                <w:sz w:val="20"/>
                <w:szCs w:val="20"/>
                <w:rtl w:val="0"/>
              </w:rPr>
              <w:t xml:space="preserve">Yes (endogenous)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7f8" w:val="clear"/>
            <w:tcMar>
              <w:top w:w="60.0" w:type="dxa"/>
              <w:left w:w="100.0" w:type="dxa"/>
              <w:bottom w:w="60.0" w:type="dxa"/>
              <w:right w:w="100.0" w:type="dxa"/>
            </w:tcMar>
          </w:tcPr>
          <w:p w:rsidR="00000000" w:rsidDel="00000000" w:rsidP="00000000" w:rsidRDefault="00000000" w:rsidRPr="00000000" w14:paraId="00000040">
            <w:pPr>
              <w:jc w:val="center"/>
              <w:rPr/>
            </w:pPr>
            <w:r w:rsidDel="00000000" w:rsidR="00000000" w:rsidRPr="00000000">
              <w:rPr>
                <w:rFonts w:ascii="Calibri" w:cs="Calibri" w:eastAsia="Calibri" w:hAnsi="Calibri"/>
                <w:b w:val="0"/>
                <w:bCs w:val="0"/>
                <w:color w:val="1a1a1a"/>
                <w:sz w:val="20"/>
                <w:szCs w:val="20"/>
                <w:rtl w:val="0"/>
              </w:rPr>
              <w:t xml:space="preserve">No (multipotent only)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7f8" w:val="clear"/>
            <w:tcMar>
              <w:top w:w="60.0" w:type="dxa"/>
              <w:left w:w="100.0" w:type="dxa"/>
              <w:bottom w:w="60.0" w:type="dxa"/>
              <w:right w:w="100.0" w:type="dxa"/>
            </w:tcMar>
          </w:tcPr>
          <w:p w:rsidR="00000000" w:rsidDel="00000000" w:rsidP="00000000" w:rsidRDefault="00000000" w:rsidRPr="00000000" w14:paraId="00000041">
            <w:pPr>
              <w:jc w:val="center"/>
              <w:rPr/>
            </w:pPr>
            <w:r w:rsidDel="00000000" w:rsidR="00000000" w:rsidRPr="00000000">
              <w:rPr>
                <w:rFonts w:ascii="Calibri" w:cs="Calibri" w:eastAsia="Calibri" w:hAnsi="Calibri"/>
                <w:b w:val="0"/>
                <w:bCs w:val="0"/>
                <w:color w:val="1a1a1a"/>
                <w:sz w:val="20"/>
                <w:szCs w:val="20"/>
                <w:rtl w:val="0"/>
              </w:rPr>
              <w:t xml:space="preserve">Yes (engineered)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60.0" w:type="dxa"/>
              <w:left w:w="100.0" w:type="dxa"/>
              <w:bottom w:w="60.0" w:type="dxa"/>
              <w:right w:w="100.0" w:type="dxa"/>
            </w:tcMar>
          </w:tcPr>
          <w:p w:rsidR="00000000" w:rsidDel="00000000" w:rsidP="00000000" w:rsidRDefault="00000000" w:rsidRPr="00000000" w14:paraId="00000042">
            <w:pPr>
              <w:jc w:val="center"/>
              <w:rPr/>
            </w:pPr>
            <w:r w:rsidDel="00000000" w:rsidR="00000000" w:rsidRPr="00000000">
              <w:rPr>
                <w:rFonts w:ascii="Calibri" w:cs="Calibri" w:eastAsia="Calibri" w:hAnsi="Calibri"/>
                <w:b w:val="0"/>
                <w:bCs w:val="0"/>
                <w:color w:val="1a1a1a"/>
                <w:sz w:val="20"/>
                <w:szCs w:val="20"/>
                <w:rtl w:val="0"/>
              </w:rPr>
              <w:t xml:space="preserve">In vivo trilineage differentiation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100.0" w:type="dxa"/>
              <w:bottom w:w="60.0" w:type="dxa"/>
              <w:right w:w="100.0" w:type="dxa"/>
            </w:tcMar>
          </w:tcPr>
          <w:p w:rsidR="00000000" w:rsidDel="00000000" w:rsidP="00000000" w:rsidRDefault="00000000" w:rsidRPr="00000000" w14:paraId="00000043">
            <w:pPr>
              <w:jc w:val="center"/>
              <w:rPr/>
            </w:pPr>
            <w:r w:rsidDel="00000000" w:rsidR="00000000" w:rsidRPr="00000000">
              <w:rPr>
                <w:rFonts w:ascii="Calibri" w:cs="Calibri" w:eastAsia="Calibri" w:hAnsi="Calibri"/>
                <w:b w:val="0"/>
                <w:bCs w:val="0"/>
                <w:color w:val="1a1a1a"/>
                <w:sz w:val="20"/>
                <w:szCs w:val="20"/>
                <w:rtl w:val="0"/>
              </w:rPr>
              <w:t xml:space="preserve">Yes (spontaneous)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100.0" w:type="dxa"/>
              <w:bottom w:w="60.0" w:type="dxa"/>
              <w:right w:w="100.0" w:type="dxa"/>
            </w:tcMar>
          </w:tcPr>
          <w:p w:rsidR="00000000" w:rsidDel="00000000" w:rsidP="00000000" w:rsidRDefault="00000000" w:rsidRPr="00000000" w14:paraId="00000044">
            <w:pPr>
              <w:jc w:val="center"/>
              <w:rPr/>
            </w:pPr>
            <w:r w:rsidDel="00000000" w:rsidR="00000000" w:rsidRPr="00000000">
              <w:rPr>
                <w:rFonts w:ascii="Calibri" w:cs="Calibri" w:eastAsia="Calibri" w:hAnsi="Calibri"/>
                <w:b w:val="0"/>
                <w:bCs w:val="0"/>
                <w:color w:val="1a1a1a"/>
                <w:sz w:val="20"/>
                <w:szCs w:val="20"/>
                <w:rtl w:val="0"/>
              </w:rPr>
              <w:t xml:space="preserve">Negligible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100.0" w:type="dxa"/>
              <w:bottom w:w="60.0" w:type="dxa"/>
              <w:right w:w="100.0" w:type="dxa"/>
            </w:tcMar>
          </w:tcPr>
          <w:p w:rsidR="00000000" w:rsidDel="00000000" w:rsidP="00000000" w:rsidRDefault="00000000" w:rsidRPr="00000000" w14:paraId="00000045">
            <w:pPr>
              <w:jc w:val="center"/>
              <w:rPr/>
            </w:pPr>
            <w:r w:rsidDel="00000000" w:rsidR="00000000" w:rsidRPr="00000000">
              <w:rPr>
                <w:rFonts w:ascii="Calibri" w:cs="Calibri" w:eastAsia="Calibri" w:hAnsi="Calibri"/>
                <w:b w:val="0"/>
                <w:bCs w:val="0"/>
                <w:color w:val="1a1a1a"/>
                <w:sz w:val="20"/>
                <w:szCs w:val="20"/>
                <w:rtl w:val="0"/>
              </w:rPr>
              <w:t xml:space="preserve">Yes (but tumorigenic risk)</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7f8" w:val="clear"/>
            <w:tcMar>
              <w:top w:w="60.0" w:type="dxa"/>
              <w:left w:w="100.0" w:type="dxa"/>
              <w:bottom w:w="60.0" w:type="dxa"/>
              <w:right w:w="100.0" w:type="dxa"/>
            </w:tcMar>
          </w:tcPr>
          <w:p w:rsidR="00000000" w:rsidDel="00000000" w:rsidP="00000000" w:rsidRDefault="00000000" w:rsidRPr="00000000" w14:paraId="00000046">
            <w:pPr>
              <w:jc w:val="center"/>
              <w:rPr/>
            </w:pPr>
            <w:r w:rsidDel="00000000" w:rsidR="00000000" w:rsidRPr="00000000">
              <w:rPr>
                <w:rFonts w:ascii="Calibri" w:cs="Calibri" w:eastAsia="Calibri" w:hAnsi="Calibri"/>
                <w:b w:val="0"/>
                <w:bCs w:val="0"/>
                <w:color w:val="1a1a1a"/>
                <w:sz w:val="20"/>
                <w:szCs w:val="20"/>
                <w:rtl w:val="0"/>
              </w:rPr>
              <w:t xml:space="preserve">Gene manipulation required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7f8" w:val="clear"/>
            <w:tcMar>
              <w:top w:w="60.0" w:type="dxa"/>
              <w:left w:w="100.0" w:type="dxa"/>
              <w:bottom w:w="60.0" w:type="dxa"/>
              <w:right w:w="100.0" w:type="dxa"/>
            </w:tcMar>
          </w:tcPr>
          <w:p w:rsidR="00000000" w:rsidDel="00000000" w:rsidP="00000000" w:rsidRDefault="00000000" w:rsidRPr="00000000" w14:paraId="00000047">
            <w:pPr>
              <w:jc w:val="center"/>
              <w:rPr/>
            </w:pPr>
            <w:r w:rsidDel="00000000" w:rsidR="00000000" w:rsidRPr="00000000">
              <w:rPr>
                <w:rFonts w:ascii="Calibri" w:cs="Calibri" w:eastAsia="Calibri" w:hAnsi="Calibri"/>
                <w:b w:val="0"/>
                <w:bCs w:val="0"/>
                <w:color w:val="1a1a1a"/>
                <w:sz w:val="20"/>
                <w:szCs w:val="20"/>
                <w:rtl w:val="0"/>
              </w:rPr>
              <w:t xml:space="preserve">No</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7f8" w:val="clear"/>
            <w:tcMar>
              <w:top w:w="60.0" w:type="dxa"/>
              <w:left w:w="100.0" w:type="dxa"/>
              <w:bottom w:w="60.0" w:type="dxa"/>
              <w:right w:w="100.0" w:type="dxa"/>
            </w:tcMar>
          </w:tcPr>
          <w:p w:rsidR="00000000" w:rsidDel="00000000" w:rsidP="00000000" w:rsidRDefault="00000000" w:rsidRPr="00000000" w14:paraId="00000048">
            <w:pPr>
              <w:jc w:val="center"/>
              <w:rPr/>
            </w:pPr>
            <w:r w:rsidDel="00000000" w:rsidR="00000000" w:rsidRPr="00000000">
              <w:rPr>
                <w:rFonts w:ascii="Calibri" w:cs="Calibri" w:eastAsia="Calibri" w:hAnsi="Calibri"/>
                <w:b w:val="0"/>
                <w:bCs w:val="0"/>
                <w:color w:val="1a1a1a"/>
                <w:sz w:val="20"/>
                <w:szCs w:val="20"/>
                <w:rtl w:val="0"/>
              </w:rPr>
              <w:t xml:space="preserve">No</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7f8" w:val="clear"/>
            <w:tcMar>
              <w:top w:w="60.0" w:type="dxa"/>
              <w:left w:w="100.0" w:type="dxa"/>
              <w:bottom w:w="60.0" w:type="dxa"/>
              <w:right w:w="100.0" w:type="dxa"/>
            </w:tcMar>
          </w:tcPr>
          <w:p w:rsidR="00000000" w:rsidDel="00000000" w:rsidP="00000000" w:rsidRDefault="00000000" w:rsidRPr="00000000" w14:paraId="00000049">
            <w:pPr>
              <w:jc w:val="center"/>
              <w:rPr/>
            </w:pPr>
            <w:r w:rsidDel="00000000" w:rsidR="00000000" w:rsidRPr="00000000">
              <w:rPr>
                <w:rFonts w:ascii="Calibri" w:cs="Calibri" w:eastAsia="Calibri" w:hAnsi="Calibri"/>
                <w:b w:val="0"/>
                <w:bCs w:val="0"/>
                <w:color w:val="1a1a1a"/>
                <w:sz w:val="20"/>
                <w:szCs w:val="20"/>
                <w:rtl w:val="0"/>
              </w:rPr>
              <w:t xml:space="preserve">Yes (iPSCs)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60.0" w:type="dxa"/>
              <w:left w:w="100.0" w:type="dxa"/>
              <w:bottom w:w="60.0" w:type="dxa"/>
              <w:right w:w="100.0" w:type="dxa"/>
            </w:tcMar>
          </w:tcPr>
          <w:p w:rsidR="00000000" w:rsidDel="00000000" w:rsidP="00000000" w:rsidRDefault="00000000" w:rsidRPr="00000000" w14:paraId="0000004A">
            <w:pPr>
              <w:jc w:val="center"/>
              <w:rPr/>
            </w:pPr>
            <w:r w:rsidDel="00000000" w:rsidR="00000000" w:rsidRPr="00000000">
              <w:rPr>
                <w:rFonts w:ascii="Calibri" w:cs="Calibri" w:eastAsia="Calibri" w:hAnsi="Calibri"/>
                <w:b w:val="0"/>
                <w:bCs w:val="0"/>
                <w:color w:val="1a1a1a"/>
                <w:sz w:val="20"/>
                <w:szCs w:val="20"/>
                <w:rtl w:val="0"/>
              </w:rPr>
              <w:t xml:space="preserve">Endogenous to adult tissue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100.0" w:type="dxa"/>
              <w:bottom w:w="60.0" w:type="dxa"/>
              <w:right w:w="100.0" w:type="dxa"/>
            </w:tcMar>
          </w:tcPr>
          <w:p w:rsidR="00000000" w:rsidDel="00000000" w:rsidP="00000000" w:rsidRDefault="00000000" w:rsidRPr="00000000" w14:paraId="0000004B">
            <w:pPr>
              <w:jc w:val="center"/>
              <w:rPr/>
            </w:pPr>
            <w:r w:rsidDel="00000000" w:rsidR="00000000" w:rsidRPr="00000000">
              <w:rPr>
                <w:rFonts w:ascii="Calibri" w:cs="Calibri" w:eastAsia="Calibri" w:hAnsi="Calibri"/>
                <w:b w:val="0"/>
                <w:bCs w:val="0"/>
                <w:color w:val="1a1a1a"/>
                <w:sz w:val="20"/>
                <w:szCs w:val="20"/>
                <w:rtl w:val="0"/>
              </w:rPr>
              <w:t xml:space="preserve">Yes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100.0" w:type="dxa"/>
              <w:bottom w:w="60.0" w:type="dxa"/>
              <w:right w:w="100.0" w:type="dxa"/>
            </w:tcMar>
          </w:tcPr>
          <w:p w:rsidR="00000000" w:rsidDel="00000000" w:rsidP="00000000" w:rsidRDefault="00000000" w:rsidRPr="00000000" w14:paraId="0000004C">
            <w:pPr>
              <w:jc w:val="center"/>
              <w:rPr/>
            </w:pPr>
            <w:r w:rsidDel="00000000" w:rsidR="00000000" w:rsidRPr="00000000">
              <w:rPr>
                <w:rFonts w:ascii="Calibri" w:cs="Calibri" w:eastAsia="Calibri" w:hAnsi="Calibri"/>
                <w:b w:val="0"/>
                <w:bCs w:val="0"/>
                <w:color w:val="1a1a1a"/>
                <w:sz w:val="20"/>
                <w:szCs w:val="20"/>
                <w:rtl w:val="0"/>
              </w:rPr>
              <w:t xml:space="preserve">Yes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100.0" w:type="dxa"/>
              <w:bottom w:w="60.0" w:type="dxa"/>
              <w:right w:w="100.0" w:type="dxa"/>
            </w:tcMar>
          </w:tcPr>
          <w:p w:rsidR="00000000" w:rsidDel="00000000" w:rsidP="00000000" w:rsidRDefault="00000000" w:rsidRPr="00000000" w14:paraId="0000004D">
            <w:pPr>
              <w:jc w:val="center"/>
              <w:rPr/>
            </w:pPr>
            <w:r w:rsidDel="00000000" w:rsidR="00000000" w:rsidRPr="00000000">
              <w:rPr>
                <w:rFonts w:ascii="Calibri" w:cs="Calibri" w:eastAsia="Calibri" w:hAnsi="Calibri"/>
                <w:b w:val="0"/>
                <w:bCs w:val="0"/>
                <w:color w:val="1a1a1a"/>
                <w:sz w:val="20"/>
                <w:szCs w:val="20"/>
                <w:rtl w:val="0"/>
              </w:rPr>
              <w:t xml:space="preserve">No</w:t>
            </w:r>
            <w:r w:rsidDel="00000000" w:rsidR="00000000" w:rsidRPr="00000000">
              <w:rPr>
                <w:rtl w:val="0"/>
              </w:rPr>
            </w:r>
          </w:p>
        </w:tc>
      </w:tr>
    </w:tbl>
    <w:p w:rsidR="00000000" w:rsidDel="00000000" w:rsidP="00000000" w:rsidRDefault="00000000" w:rsidRPr="00000000" w14:paraId="0000004E">
      <w:pPr>
        <w:spacing w:after="160" w:before="0" w:lineRule="auto"/>
        <w:rPr/>
      </w:pPr>
      <w:r w:rsidDel="00000000" w:rsidR="00000000" w:rsidRPr="00000000">
        <w:rPr>
          <w:rtl w:val="0"/>
        </w:rPr>
      </w:r>
    </w:p>
    <w:p w:rsidR="00000000" w:rsidDel="00000000" w:rsidP="00000000" w:rsidRDefault="00000000" w:rsidRPr="00000000" w14:paraId="0000004F">
      <w:pPr>
        <w:pStyle w:val="Heading2"/>
        <w:spacing w:after="60" w:before="280" w:lineRule="auto"/>
        <w:rPr/>
      </w:pPr>
      <w:r w:rsidDel="00000000" w:rsidR="00000000" w:rsidRPr="00000000">
        <w:rPr>
          <w:rFonts w:ascii="Calibri" w:cs="Calibri" w:eastAsia="Calibri" w:hAnsi="Calibri"/>
          <w:b w:val="1"/>
          <w:bCs w:val="1"/>
          <w:color w:val="0f434d"/>
          <w:sz w:val="28"/>
          <w:szCs w:val="28"/>
          <w:rtl w:val="0"/>
        </w:rPr>
        <w:t xml:space="preserve">Pillar 2: The Homing Axis</w:t>
      </w:r>
      <w:r w:rsidDel="00000000" w:rsidR="00000000" w:rsidRPr="00000000">
        <w:rPr>
          <w:rtl w:val="0"/>
        </w:rPr>
      </w:r>
    </w:p>
    <w:p w:rsidR="00000000" w:rsidDel="00000000" w:rsidP="00000000" w:rsidRDefault="00000000" w:rsidRPr="00000000" w14:paraId="00000050">
      <w:pPr>
        <w:pBdr>
          <w:bottom w:color="0f434d" w:space="1" w:sz="4" w:val="single"/>
        </w:pBdr>
        <w:spacing w:after="80" w:before="0" w:lineRule="auto"/>
        <w:rPr/>
      </w:pPr>
      <w:r w:rsidDel="00000000" w:rsidR="00000000" w:rsidRPr="00000000">
        <w:rPr>
          <w:rtl w:val="0"/>
        </w:rPr>
      </w:r>
    </w:p>
    <w:p w:rsidR="00000000" w:rsidDel="00000000" w:rsidP="00000000" w:rsidRDefault="00000000" w:rsidRPr="00000000" w14:paraId="00000051">
      <w:pPr>
        <w:spacing w:after="80" w:before="0" w:lineRule="auto"/>
        <w:rPr/>
      </w:pPr>
      <w:r w:rsidDel="00000000" w:rsidR="00000000" w:rsidRPr="00000000">
        <w:rPr>
          <w:rtl w:val="0"/>
        </w:rPr>
      </w:r>
    </w:p>
    <w:p w:rsidR="00000000" w:rsidDel="00000000" w:rsidP="00000000" w:rsidRDefault="00000000" w:rsidRPr="00000000" w14:paraId="00000052">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The Problem with Passive Delivery</w:t>
      </w:r>
      <w:r w:rsidDel="00000000" w:rsidR="00000000" w:rsidRPr="00000000">
        <w:rPr>
          <w:rtl w:val="0"/>
        </w:rPr>
      </w:r>
    </w:p>
    <w:p w:rsidR="00000000" w:rsidDel="00000000" w:rsidP="00000000" w:rsidRDefault="00000000" w:rsidRPr="00000000" w14:paraId="00000053">
      <w:pPr>
        <w:spacing w:after="120" w:before="0" w:lineRule="auto"/>
        <w:rPr/>
      </w:pPr>
      <w:r w:rsidDel="00000000" w:rsidR="00000000" w:rsidRPr="00000000">
        <w:rPr>
          <w:rFonts w:ascii="Calibri" w:cs="Calibri" w:eastAsia="Calibri" w:hAnsi="Calibri"/>
          <w:color w:val="1a1a1a"/>
          <w:sz w:val="22"/>
          <w:szCs w:val="22"/>
          <w:rtl w:val="0"/>
        </w:rPr>
        <w:t xml:space="preserve">A fundamental challenge in cell therapy is getting cells to where the damage is. Conventional MSCs administered intravenously distribute poorly: the majority are sequestered in the pulmonary capillary bed before reaching systemic circulation — a phenomenon known as the pulmonary first-pass effect (Fischer et al., 2009). This severely limits delivery to target organs.</w:t>
      </w:r>
      <w:r w:rsidDel="00000000" w:rsidR="00000000" w:rsidRPr="00000000">
        <w:rPr>
          <w:rtl w:val="0"/>
        </w:rPr>
      </w:r>
    </w:p>
    <w:p w:rsidR="00000000" w:rsidDel="00000000" w:rsidP="00000000" w:rsidRDefault="00000000" w:rsidRPr="00000000" w14:paraId="00000054">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The Sphingosine-1-Phosphate (S1P) Signaling Axis</w:t>
      </w:r>
      <w:r w:rsidDel="00000000" w:rsidR="00000000" w:rsidRPr="00000000">
        <w:rPr>
          <w:rtl w:val="0"/>
        </w:rPr>
      </w:r>
    </w:p>
    <w:p w:rsidR="00000000" w:rsidDel="00000000" w:rsidP="00000000" w:rsidRDefault="00000000" w:rsidRPr="00000000" w14:paraId="00000055">
      <w:pPr>
        <w:spacing w:after="120" w:before="0" w:lineRule="auto"/>
        <w:rPr/>
      </w:pPr>
      <w:r w:rsidDel="00000000" w:rsidR="00000000" w:rsidRPr="00000000">
        <w:rPr>
          <w:rFonts w:ascii="Calibri" w:cs="Calibri" w:eastAsia="Calibri" w:hAnsi="Calibri"/>
          <w:b w:val="0"/>
          <w:bCs w:val="0"/>
          <w:i w:val="0"/>
          <w:iCs w:val="0"/>
          <w:color w:val="1a1a1a"/>
          <w:sz w:val="22"/>
          <w:szCs w:val="22"/>
          <w:rtl w:val="0"/>
        </w:rPr>
        <w:t xml:space="preserve">Dezawa MuseCells® express </w:t>
      </w:r>
      <w:r w:rsidDel="00000000" w:rsidR="00000000" w:rsidRPr="00000000">
        <w:rPr>
          <w:rFonts w:ascii="Calibri" w:cs="Calibri" w:eastAsia="Calibri" w:hAnsi="Calibri"/>
          <w:b w:val="1"/>
          <w:bCs w:val="1"/>
          <w:i w:val="0"/>
          <w:iCs w:val="0"/>
          <w:color w:val="1a1a1a"/>
          <w:sz w:val="22"/>
          <w:szCs w:val="22"/>
          <w:rtl w:val="0"/>
        </w:rPr>
        <w:t xml:space="preserve">Sphingosine-1-Phosphate Receptor 2 (S1PR2)</w:t>
      </w:r>
      <w:r w:rsidDel="00000000" w:rsidR="00000000" w:rsidRPr="00000000">
        <w:rPr>
          <w:rFonts w:ascii="Calibri" w:cs="Calibri" w:eastAsia="Calibri" w:hAnsi="Calibri"/>
          <w:b w:val="0"/>
          <w:bCs w:val="0"/>
          <w:i w:val="0"/>
          <w:iCs w:val="0"/>
          <w:color w:val="1a1a1a"/>
          <w:sz w:val="22"/>
          <w:szCs w:val="22"/>
          <w:rtl w:val="0"/>
        </w:rPr>
        <w:t xml:space="preserve"> at high levels. When cells are damaged, they produce S1P as a biochemical distress signal by phosphorylating sphingosine. Dezawa MuseCells® sense this gradient and actively migrate toward the source — enabling selective homing to sites of tissue injury.</w:t>
      </w:r>
      <w:r w:rsidDel="00000000" w:rsidR="00000000" w:rsidRPr="00000000">
        <w:rPr>
          <w:rtl w:val="0"/>
        </w:rPr>
      </w:r>
    </w:p>
    <w:p w:rsidR="00000000" w:rsidDel="00000000" w:rsidP="00000000" w:rsidRDefault="00000000" w:rsidRPr="00000000" w14:paraId="00000056">
      <w:pPr>
        <w:spacing w:after="120" w:before="0" w:lineRule="auto"/>
        <w:rPr/>
      </w:pPr>
      <w:r w:rsidDel="00000000" w:rsidR="00000000" w:rsidRPr="00000000">
        <w:rPr>
          <w:rFonts w:ascii="Calibri" w:cs="Calibri" w:eastAsia="Calibri" w:hAnsi="Calibri"/>
          <w:color w:val="1a1a1a"/>
          <w:sz w:val="22"/>
          <w:szCs w:val="22"/>
          <w:rtl w:val="0"/>
        </w:rPr>
        <w:t xml:space="preserve">This is not passive distribution. It is active, signal-driven navigation.</w:t>
      </w:r>
      <w:r w:rsidDel="00000000" w:rsidR="00000000" w:rsidRPr="00000000">
        <w:rPr>
          <w:rtl w:val="0"/>
        </w:rPr>
      </w:r>
    </w:p>
    <w:p w:rsidR="00000000" w:rsidDel="00000000" w:rsidP="00000000" w:rsidRDefault="00000000" w:rsidRPr="00000000" w14:paraId="00000057">
      <w:pPr>
        <w:spacing w:after="120" w:before="0" w:lineRule="auto"/>
        <w:rPr/>
      </w:pPr>
      <w:r w:rsidDel="00000000" w:rsidR="00000000" w:rsidRPr="00000000">
        <w:rPr>
          <w:rFonts w:ascii="Calibri" w:cs="Calibri" w:eastAsia="Calibri" w:hAnsi="Calibri"/>
          <w:color w:val="1a1a1a"/>
          <w:sz w:val="22"/>
          <w:szCs w:val="22"/>
          <w:rtl w:val="0"/>
        </w:rPr>
        <w:t xml:space="preserve">Secondary homing signals — SDF-1/CXCR4 and HGF/c-Met — contribute but play a supporting role to the dominant S1P–S1PR2 axis.</w:t>
      </w:r>
      <w:r w:rsidDel="00000000" w:rsidR="00000000" w:rsidRPr="00000000">
        <w:rPr>
          <w:rtl w:val="0"/>
        </w:rPr>
      </w:r>
    </w:p>
    <w:p w:rsidR="00000000" w:rsidDel="00000000" w:rsidP="00000000" w:rsidRDefault="00000000" w:rsidRPr="00000000" w14:paraId="00000058">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Clinical Relevance of Homing Efficiency</w:t>
      </w:r>
      <w:r w:rsidDel="00000000" w:rsidR="00000000" w:rsidRPr="00000000">
        <w:rPr>
          <w:rtl w:val="0"/>
        </w:rPr>
      </w:r>
    </w:p>
    <w:p w:rsidR="00000000" w:rsidDel="00000000" w:rsidP="00000000" w:rsidRDefault="00000000" w:rsidRPr="00000000" w14:paraId="00000059">
      <w:pPr>
        <w:spacing w:after="120" w:before="0" w:lineRule="auto"/>
        <w:rPr/>
      </w:pPr>
      <w:r w:rsidDel="00000000" w:rsidR="00000000" w:rsidRPr="00000000">
        <w:rPr>
          <w:rFonts w:ascii="Calibri" w:cs="Calibri" w:eastAsia="Calibri" w:hAnsi="Calibri"/>
          <w:color w:val="1a1a1a"/>
          <w:sz w:val="22"/>
          <w:szCs w:val="22"/>
          <w:rtl w:val="0"/>
        </w:rPr>
        <w:t xml:space="preserve">In animal models of acute myocardial infarction, intravenously administered Muse cells achieved approximately 14.5% engraftment at the infarcted myocardium, while conventional MSCs showed near-zero detection at the same site after three days (Fischer et al.; Dezawa lab publications). The homing axis also explains why, following serious injury such as stroke or AMI, endogenous Muse cells mobilize dramatically into peripheral blood within 24 hours of onset.</w:t>
      </w:r>
      <w:r w:rsidDel="00000000" w:rsidR="00000000" w:rsidRPr="00000000">
        <w:rPr>
          <w:rtl w:val="0"/>
        </w:rPr>
      </w:r>
    </w:p>
    <w:p w:rsidR="00000000" w:rsidDel="00000000" w:rsidP="00000000" w:rsidRDefault="00000000" w:rsidRPr="00000000" w14:paraId="0000005A">
      <w:pPr>
        <w:spacing w:after="120" w:before="0" w:lineRule="auto"/>
        <w:rPr/>
      </w:pPr>
      <w:r w:rsidDel="00000000" w:rsidR="00000000" w:rsidRPr="00000000">
        <w:rPr>
          <w:rFonts w:ascii="Calibri" w:cs="Calibri" w:eastAsia="Calibri" w:hAnsi="Calibri"/>
          <w:color w:val="1a1a1a"/>
          <w:sz w:val="22"/>
          <w:szCs w:val="22"/>
          <w:rtl w:val="0"/>
        </w:rPr>
        <w:t xml:space="preserve">Importantly, this homing capacity is not limited to cardiac or neurological injury. A 2025 study by Lu et al. (Regenerative Therapy) demonstrated selective Muse cell accumulation at skeletal muscle injury sites following tail-vein injection in a musculoskeletal injury mouse model, using live small-animal imaging to confirm significantly greater fluorescence intensity at the injury site in the Muse cell group versus non-Muse controls. This extends the evidence base for S1PR2-driven homing across a broader range of tissue types and injury contexts.</w:t>
      </w:r>
      <w:r w:rsidDel="00000000" w:rsidR="00000000" w:rsidRPr="00000000">
        <w:rPr>
          <w:rtl w:val="0"/>
        </w:rPr>
      </w:r>
    </w:p>
    <w:p w:rsidR="00000000" w:rsidDel="00000000" w:rsidP="00000000" w:rsidRDefault="00000000" w:rsidRPr="00000000" w14:paraId="0000005B">
      <w:pPr>
        <w:spacing w:after="120" w:before="0" w:lineRule="auto"/>
        <w:rPr/>
      </w:pPr>
      <w:r w:rsidDel="00000000" w:rsidR="00000000" w:rsidRPr="00000000">
        <w:rPr>
          <w:rFonts w:ascii="Calibri" w:cs="Calibri" w:eastAsia="Calibri" w:hAnsi="Calibri"/>
          <w:color w:val="1a1a1a"/>
          <w:sz w:val="22"/>
          <w:szCs w:val="22"/>
          <w:rtl w:val="0"/>
        </w:rPr>
        <w:t xml:space="preserve">Practical consequence for the clinician: IV delivery is clinically viable with Dezawa MuseCells® in a way it is not with conventional MSCs.</w:t>
      </w:r>
      <w:r w:rsidDel="00000000" w:rsidR="00000000" w:rsidRPr="00000000">
        <w:rPr>
          <w:rtl w:val="0"/>
        </w:rPr>
      </w:r>
    </w:p>
    <w:p w:rsidR="00000000" w:rsidDel="00000000" w:rsidP="00000000" w:rsidRDefault="00000000" w:rsidRPr="00000000" w14:paraId="0000005C">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Avoiding Pulmonary Sequestration</w:t>
      </w:r>
      <w:r w:rsidDel="00000000" w:rsidR="00000000" w:rsidRPr="00000000">
        <w:rPr>
          <w:rtl w:val="0"/>
        </w:rPr>
      </w:r>
    </w:p>
    <w:p w:rsidR="00000000" w:rsidDel="00000000" w:rsidP="00000000" w:rsidRDefault="00000000" w:rsidRPr="00000000" w14:paraId="0000005D">
      <w:pPr>
        <w:spacing w:after="120" w:before="0" w:lineRule="auto"/>
        <w:rPr/>
      </w:pPr>
      <w:r w:rsidDel="00000000" w:rsidR="00000000" w:rsidRPr="00000000">
        <w:rPr>
          <w:rFonts w:ascii="Calibri" w:cs="Calibri" w:eastAsia="Calibri" w:hAnsi="Calibri"/>
          <w:color w:val="1a1a1a"/>
          <w:sz w:val="22"/>
          <w:szCs w:val="22"/>
          <w:rtl w:val="0"/>
        </w:rPr>
        <w:t xml:space="preserve">Traditional MSCs are 15–30+ µm in diameter and passively aggregate in lung capillaries (~8 µm luminal diameter). Dezawa MuseCells® are smaller (~13–15 µm) but more importantly, their active homing behavior directs them away from non-injured pulmonary tissue. Published comparisons demonstrate that non-Muse SSEA-3− cells from the same MSC preparations were "mainly trapped in the lung and remained undetectable in the heart" following IV injection, while MuseCells® successfully engrafted target tissue.</w:t>
      </w:r>
      <w:r w:rsidDel="00000000" w:rsidR="00000000" w:rsidRPr="00000000">
        <w:rPr>
          <w:rtl w:val="0"/>
        </w:rPr>
      </w:r>
    </w:p>
    <w:p w:rsidR="00000000" w:rsidDel="00000000" w:rsidP="00000000" w:rsidRDefault="00000000" w:rsidRPr="00000000" w14:paraId="0000005E">
      <w:pPr>
        <w:spacing w:after="80" w:before="0" w:lineRule="auto"/>
        <w:rPr/>
      </w:pPr>
      <w:r w:rsidDel="00000000" w:rsidR="00000000" w:rsidRPr="00000000">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d7b172" w:space="0" w:sz="4" w:val="single"/>
              <w:left w:color="d7b172" w:space="0" w:sz="6" w:val="single"/>
              <w:bottom w:color="d7b172" w:space="0" w:sz="4" w:val="single"/>
              <w:right w:color="d7b172" w:space="0" w:sz="4" w:val="single"/>
            </w:tcBorders>
            <w:shd w:fill="fdf6e8" w:val="clear"/>
            <w:tcMar>
              <w:top w:w="120.0" w:type="dxa"/>
              <w:left w:w="200.0" w:type="dxa"/>
              <w:bottom w:w="120.0" w:type="dxa"/>
              <w:right w:w="120.0" w:type="dxa"/>
            </w:tcMar>
          </w:tcPr>
          <w:p w:rsidR="00000000" w:rsidDel="00000000" w:rsidP="00000000" w:rsidRDefault="00000000" w:rsidRPr="00000000" w14:paraId="0000005F">
            <w:pPr>
              <w:rPr/>
            </w:pPr>
            <w:r w:rsidDel="00000000" w:rsidR="00000000" w:rsidRPr="00000000">
              <w:rPr>
                <w:rFonts w:ascii="Calibri" w:cs="Calibri" w:eastAsia="Calibri" w:hAnsi="Calibri"/>
                <w:i w:val="1"/>
                <w:iCs w:val="1"/>
                <w:color w:val="7a5c1e"/>
                <w:sz w:val="22"/>
                <w:szCs w:val="22"/>
                <w:rtl w:val="0"/>
              </w:rPr>
              <w:t xml:space="preserve">Key takeaway: The S1P–S1PR2 homing axis transforms intravenous delivery from a delivery limitation into a precision targeting mechanism. Damaged tissue summons the cells; healthy tissue does not.</w:t>
            </w:r>
            <w:r w:rsidDel="00000000" w:rsidR="00000000" w:rsidRPr="00000000">
              <w:rPr>
                <w:rtl w:val="0"/>
              </w:rPr>
            </w:r>
          </w:p>
        </w:tc>
      </w:tr>
    </w:tbl>
    <w:p w:rsidR="00000000" w:rsidDel="00000000" w:rsidP="00000000" w:rsidRDefault="00000000" w:rsidRPr="00000000" w14:paraId="00000060">
      <w:pPr>
        <w:spacing w:after="160" w:before="0" w:lineRule="auto"/>
        <w:rPr/>
      </w:pPr>
      <w:r w:rsidDel="00000000" w:rsidR="00000000" w:rsidRPr="00000000">
        <w:rPr>
          <w:rtl w:val="0"/>
        </w:rPr>
      </w:r>
    </w:p>
    <w:p w:rsidR="00000000" w:rsidDel="00000000" w:rsidP="00000000" w:rsidRDefault="00000000" w:rsidRPr="00000000" w14:paraId="00000061">
      <w:pPr>
        <w:pStyle w:val="Heading2"/>
        <w:spacing w:after="60" w:before="280" w:lineRule="auto"/>
        <w:rPr/>
      </w:pPr>
      <w:r w:rsidDel="00000000" w:rsidR="00000000" w:rsidRPr="00000000">
        <w:rPr>
          <w:rFonts w:ascii="Calibri" w:cs="Calibri" w:eastAsia="Calibri" w:hAnsi="Calibri"/>
          <w:b w:val="1"/>
          <w:bCs w:val="1"/>
          <w:color w:val="0f434d"/>
          <w:sz w:val="28"/>
          <w:szCs w:val="28"/>
          <w:rtl w:val="0"/>
        </w:rPr>
        <w:t xml:space="preserve">Pillar 3: Immune Privilege</w:t>
      </w:r>
      <w:r w:rsidDel="00000000" w:rsidR="00000000" w:rsidRPr="00000000">
        <w:rPr>
          <w:rtl w:val="0"/>
        </w:rPr>
      </w:r>
    </w:p>
    <w:p w:rsidR="00000000" w:rsidDel="00000000" w:rsidP="00000000" w:rsidRDefault="00000000" w:rsidRPr="00000000" w14:paraId="00000062">
      <w:pPr>
        <w:pBdr>
          <w:bottom w:color="0f434d" w:space="1" w:sz="4" w:val="single"/>
        </w:pBdr>
        <w:spacing w:after="80" w:before="0" w:lineRule="auto"/>
        <w:rPr/>
      </w:pPr>
      <w:r w:rsidDel="00000000" w:rsidR="00000000" w:rsidRPr="00000000">
        <w:rPr>
          <w:rtl w:val="0"/>
        </w:rPr>
      </w:r>
    </w:p>
    <w:p w:rsidR="00000000" w:rsidDel="00000000" w:rsidP="00000000" w:rsidRDefault="00000000" w:rsidRPr="00000000" w14:paraId="00000063">
      <w:pPr>
        <w:spacing w:after="80" w:before="0" w:lineRule="auto"/>
        <w:rPr/>
      </w:pPr>
      <w:r w:rsidDel="00000000" w:rsidR="00000000" w:rsidRPr="00000000">
        <w:rPr>
          <w:rtl w:val="0"/>
        </w:rPr>
      </w:r>
    </w:p>
    <w:p w:rsidR="00000000" w:rsidDel="00000000" w:rsidP="00000000" w:rsidRDefault="00000000" w:rsidRPr="00000000" w14:paraId="00000064">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The Allogeneic Challenge in Cell Therapy</w:t>
      </w:r>
      <w:r w:rsidDel="00000000" w:rsidR="00000000" w:rsidRPr="00000000">
        <w:rPr>
          <w:rtl w:val="0"/>
        </w:rPr>
      </w:r>
    </w:p>
    <w:p w:rsidR="00000000" w:rsidDel="00000000" w:rsidP="00000000" w:rsidRDefault="00000000" w:rsidRPr="00000000" w14:paraId="00000065">
      <w:pPr>
        <w:spacing w:after="120" w:before="0" w:lineRule="auto"/>
        <w:rPr/>
      </w:pPr>
      <w:r w:rsidDel="00000000" w:rsidR="00000000" w:rsidRPr="00000000">
        <w:rPr>
          <w:rFonts w:ascii="Calibri" w:cs="Calibri" w:eastAsia="Calibri" w:hAnsi="Calibri"/>
          <w:color w:val="1a1a1a"/>
          <w:sz w:val="22"/>
          <w:szCs w:val="22"/>
          <w:rtl w:val="0"/>
        </w:rPr>
        <w:t xml:space="preserve">The standard barrier to allogeneic (donor-derived) cell therapy is immune rejection. HLA-mismatched cells are recognized as foreign and destroyed by the host immune system, typically requiring lifelong immunosuppression to maintain graft function. This creates significant clinical burden and safety risk.</w:t>
      </w:r>
      <w:r w:rsidDel="00000000" w:rsidR="00000000" w:rsidRPr="00000000">
        <w:rPr>
          <w:rtl w:val="0"/>
        </w:rPr>
      </w:r>
    </w:p>
    <w:p w:rsidR="00000000" w:rsidDel="00000000" w:rsidP="00000000" w:rsidRDefault="00000000" w:rsidRPr="00000000" w14:paraId="00000066">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How Dezawa MuseCells® Evade Rejection</w:t>
      </w:r>
      <w:r w:rsidDel="00000000" w:rsidR="00000000" w:rsidRPr="00000000">
        <w:rPr>
          <w:rtl w:val="0"/>
        </w:rPr>
      </w:r>
    </w:p>
    <w:p w:rsidR="00000000" w:rsidDel="00000000" w:rsidP="00000000" w:rsidRDefault="00000000" w:rsidRPr="00000000" w14:paraId="00000067">
      <w:pPr>
        <w:spacing w:after="120" w:before="0" w:lineRule="auto"/>
        <w:rPr/>
      </w:pPr>
      <w:r w:rsidDel="00000000" w:rsidR="00000000" w:rsidRPr="00000000">
        <w:rPr>
          <w:rFonts w:ascii="Calibri" w:cs="Calibri" w:eastAsia="Calibri" w:hAnsi="Calibri"/>
          <w:color w:val="1a1a1a"/>
          <w:sz w:val="22"/>
          <w:szCs w:val="22"/>
          <w:rtl w:val="0"/>
        </w:rPr>
        <w:t xml:space="preserve">Dezawa MuseCells® possess a multi-layered immune privilege system:</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HLA-G expression: A non-classical MHC class I molecule predominantly expressed in placental trophoblasts, where it prevents maternal immune rejection of the fetus. Muse cells express HLA-G, borrowing this natural maternal tolerance mechanism.</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Immunomodulatory secretome: Muse cells produce indoleamine 2,3-dioxygenase (IDO), TGF-β, prostaglandin E2 (PGE2), nitric oxide, and hepatocyte growth factor (HGF) — a combination that activates regulatory T cells, suppresses effector T-cell proliferation, and modulates dendritic cell differentiation toward tolerogenic phenotypes.</w:t>
      </w:r>
      <w:r w:rsidDel="00000000" w:rsidR="00000000" w:rsidRPr="00000000">
        <w:rPr>
          <w:rtl w:val="0"/>
        </w:rPr>
      </w:r>
    </w:p>
    <w:p w:rsidR="00000000" w:rsidDel="00000000" w:rsidP="00000000" w:rsidRDefault="00000000" w:rsidRPr="00000000" w14:paraId="0000006A">
      <w:pPr>
        <w:spacing w:after="80" w:before="0" w:lineRule="auto"/>
        <w:rPr/>
      </w:pPr>
      <w:r w:rsidDel="00000000" w:rsidR="00000000" w:rsidRPr="00000000">
        <w:rPr>
          <w:rtl w:val="0"/>
        </w:rPr>
      </w:r>
    </w:p>
    <w:p w:rsidR="00000000" w:rsidDel="00000000" w:rsidP="00000000" w:rsidRDefault="00000000" w:rsidRPr="00000000" w14:paraId="0000006B">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Clinical Evidence</w:t>
      </w:r>
      <w:r w:rsidDel="00000000" w:rsidR="00000000" w:rsidRPr="00000000">
        <w:rPr>
          <w:rtl w:val="0"/>
        </w:rPr>
      </w:r>
    </w:p>
    <w:p w:rsidR="00000000" w:rsidDel="00000000" w:rsidP="00000000" w:rsidRDefault="00000000" w:rsidRPr="00000000" w14:paraId="0000006C">
      <w:pPr>
        <w:spacing w:after="120" w:before="0" w:lineRule="auto"/>
        <w:rPr/>
      </w:pPr>
      <w:r w:rsidDel="00000000" w:rsidR="00000000" w:rsidRPr="00000000">
        <w:rPr>
          <w:rFonts w:ascii="Calibri" w:cs="Calibri" w:eastAsia="Calibri" w:hAnsi="Calibri"/>
          <w:b w:val="0"/>
          <w:bCs w:val="0"/>
          <w:i w:val="0"/>
          <w:iCs w:val="0"/>
          <w:color w:val="1a1a1a"/>
          <w:sz w:val="22"/>
          <w:szCs w:val="22"/>
          <w:rtl w:val="0"/>
        </w:rPr>
        <w:t xml:space="preserve">In completed Phase II clinical trials, allogeneic donor-derived Muse cells were administered intravenously to patients </w:t>
      </w:r>
      <w:r w:rsidDel="00000000" w:rsidR="00000000" w:rsidRPr="00000000">
        <w:rPr>
          <w:rFonts w:ascii="Calibri" w:cs="Calibri" w:eastAsia="Calibri" w:hAnsi="Calibri"/>
          <w:b w:val="1"/>
          <w:bCs w:val="1"/>
          <w:i w:val="0"/>
          <w:iCs w:val="0"/>
          <w:color w:val="1a1a1a"/>
          <w:sz w:val="22"/>
          <w:szCs w:val="22"/>
          <w:rtl w:val="0"/>
        </w:rPr>
        <w:t xml:space="preserve">without HLA matching and without immunosuppressant treatment</w:t>
      </w:r>
      <w:r w:rsidDel="00000000" w:rsidR="00000000" w:rsidRPr="00000000">
        <w:rPr>
          <w:rFonts w:ascii="Calibri" w:cs="Calibri" w:eastAsia="Calibri" w:hAnsi="Calibri"/>
          <w:b w:val="0"/>
          <w:bCs w:val="0"/>
          <w:i w:val="0"/>
          <w:iCs w:val="0"/>
          <w:color w:val="1a1a1a"/>
          <w:sz w:val="22"/>
          <w:szCs w:val="22"/>
          <w:rtl w:val="0"/>
        </w:rPr>
        <w:t xml:space="preserve">. Cells survived in target tissue for over six months in allogenic settings (~2 months in xenogeneic) without evidence of rejection.</w:t>
      </w:r>
      <w:r w:rsidDel="00000000" w:rsidR="00000000" w:rsidRPr="00000000">
        <w:rPr>
          <w:rtl w:val="0"/>
        </w:rPr>
      </w:r>
    </w:p>
    <w:p w:rsidR="00000000" w:rsidDel="00000000" w:rsidP="00000000" w:rsidRDefault="00000000" w:rsidRPr="00000000" w14:paraId="0000006D">
      <w:pPr>
        <w:spacing w:after="120" w:before="0" w:lineRule="auto"/>
        <w:rPr/>
      </w:pPr>
      <w:r w:rsidDel="00000000" w:rsidR="00000000" w:rsidRPr="00000000">
        <w:rPr>
          <w:rFonts w:ascii="Calibri" w:cs="Calibri" w:eastAsia="Calibri" w:hAnsi="Calibri"/>
          <w:color w:val="1a1a1a"/>
          <w:sz w:val="22"/>
          <w:szCs w:val="22"/>
          <w:rtl w:val="0"/>
        </w:rPr>
        <w:t xml:space="preserve">This profile is documented across indications including stroke, acute myocardial infarction, ALS, spinal cord injury, neonatal hypoxic-ischemic encephalopathy, epidermolysis bullosa, and COVID-19 ARDS.</w:t>
      </w:r>
      <w:r w:rsidDel="00000000" w:rsidR="00000000" w:rsidRPr="00000000">
        <w:rPr>
          <w:rtl w:val="0"/>
        </w:rPr>
      </w:r>
    </w:p>
    <w:p w:rsidR="00000000" w:rsidDel="00000000" w:rsidP="00000000" w:rsidRDefault="00000000" w:rsidRPr="00000000" w14:paraId="0000006E">
      <w:pPr>
        <w:spacing w:after="80" w:before="0" w:lineRule="auto"/>
        <w:rPr/>
      </w:pPr>
      <w:r w:rsidDel="00000000" w:rsidR="00000000" w:rsidRPr="00000000">
        <w:rPr>
          <w:rtl w:val="0"/>
        </w:rPr>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d7b172" w:space="0" w:sz="4" w:val="single"/>
              <w:left w:color="d7b172" w:space="0" w:sz="6" w:val="single"/>
              <w:bottom w:color="d7b172" w:space="0" w:sz="4" w:val="single"/>
              <w:right w:color="d7b172" w:space="0" w:sz="4" w:val="single"/>
            </w:tcBorders>
            <w:shd w:fill="fdf6e8" w:val="clear"/>
            <w:tcMar>
              <w:top w:w="120.0" w:type="dxa"/>
              <w:left w:w="200.0" w:type="dxa"/>
              <w:bottom w:w="120.0" w:type="dxa"/>
              <w:right w:w="120.0" w:type="dxa"/>
            </w:tcMar>
          </w:tcPr>
          <w:p w:rsidR="00000000" w:rsidDel="00000000" w:rsidP="00000000" w:rsidRDefault="00000000" w:rsidRPr="00000000" w14:paraId="0000006F">
            <w:pPr>
              <w:rPr/>
            </w:pPr>
            <w:r w:rsidDel="00000000" w:rsidR="00000000" w:rsidRPr="00000000">
              <w:rPr>
                <w:rFonts w:ascii="Calibri" w:cs="Calibri" w:eastAsia="Calibri" w:hAnsi="Calibri"/>
                <w:i w:val="1"/>
                <w:iCs w:val="1"/>
                <w:color w:val="7a5c1e"/>
                <w:sz w:val="22"/>
                <w:szCs w:val="22"/>
                <w:rtl w:val="0"/>
              </w:rPr>
              <w:t xml:space="preserve">Immune privilege enables off-the-shelf allogeneic use without donor matching — a significant practical advantage for clinical scalability.</w:t>
            </w:r>
            <w:r w:rsidDel="00000000" w:rsidR="00000000" w:rsidRPr="00000000">
              <w:rPr>
                <w:rtl w:val="0"/>
              </w:rPr>
            </w:r>
          </w:p>
        </w:tc>
      </w:tr>
    </w:tbl>
    <w:p w:rsidR="00000000" w:rsidDel="00000000" w:rsidP="00000000" w:rsidRDefault="00000000" w:rsidRPr="00000000" w14:paraId="00000070">
      <w:pPr>
        <w:spacing w:after="160" w:before="0" w:lineRule="auto"/>
        <w:rPr/>
      </w:pPr>
      <w:r w:rsidDel="00000000" w:rsidR="00000000" w:rsidRPr="00000000">
        <w:rPr>
          <w:rtl w:val="0"/>
        </w:rPr>
      </w:r>
    </w:p>
    <w:p w:rsidR="00000000" w:rsidDel="00000000" w:rsidP="00000000" w:rsidRDefault="00000000" w:rsidRPr="00000000" w14:paraId="00000071">
      <w:pPr>
        <w:pStyle w:val="Heading2"/>
        <w:spacing w:after="60" w:before="280" w:lineRule="auto"/>
        <w:rPr/>
      </w:pPr>
      <w:r w:rsidDel="00000000" w:rsidR="00000000" w:rsidRPr="00000000">
        <w:rPr>
          <w:rFonts w:ascii="Calibri" w:cs="Calibri" w:eastAsia="Calibri" w:hAnsi="Calibri"/>
          <w:b w:val="1"/>
          <w:bCs w:val="1"/>
          <w:color w:val="0f434d"/>
          <w:sz w:val="28"/>
          <w:szCs w:val="28"/>
          <w:rtl w:val="0"/>
        </w:rPr>
        <w:t xml:space="preserve">Non-Tumorigenicity: Safety at the Cellular Level</w:t>
      </w:r>
      <w:r w:rsidDel="00000000" w:rsidR="00000000" w:rsidRPr="00000000">
        <w:rPr>
          <w:rtl w:val="0"/>
        </w:rPr>
      </w:r>
    </w:p>
    <w:p w:rsidR="00000000" w:rsidDel="00000000" w:rsidP="00000000" w:rsidRDefault="00000000" w:rsidRPr="00000000" w14:paraId="00000072">
      <w:pPr>
        <w:pBdr>
          <w:bottom w:color="0f434d" w:space="1" w:sz="4" w:val="single"/>
        </w:pBdr>
        <w:spacing w:after="80" w:before="0" w:lineRule="auto"/>
        <w:rPr/>
      </w:pPr>
      <w:r w:rsidDel="00000000" w:rsidR="00000000" w:rsidRPr="00000000">
        <w:rPr>
          <w:rtl w:val="0"/>
        </w:rPr>
      </w:r>
    </w:p>
    <w:p w:rsidR="00000000" w:rsidDel="00000000" w:rsidP="00000000" w:rsidRDefault="00000000" w:rsidRPr="00000000" w14:paraId="00000073">
      <w:pPr>
        <w:spacing w:after="80" w:before="0" w:lineRule="auto"/>
        <w:rPr/>
      </w:pPr>
      <w:r w:rsidDel="00000000" w:rsidR="00000000" w:rsidRPr="00000000">
        <w:rPr>
          <w:rtl w:val="0"/>
        </w:rPr>
      </w:r>
    </w:p>
    <w:p w:rsidR="00000000" w:rsidDel="00000000" w:rsidP="00000000" w:rsidRDefault="00000000" w:rsidRPr="00000000" w14:paraId="00000074">
      <w:pPr>
        <w:spacing w:after="120" w:before="0" w:lineRule="auto"/>
        <w:rPr/>
      </w:pPr>
      <w:r w:rsidDel="00000000" w:rsidR="00000000" w:rsidRPr="00000000">
        <w:rPr>
          <w:rFonts w:ascii="Calibri" w:cs="Calibri" w:eastAsia="Calibri" w:hAnsi="Calibri"/>
          <w:color w:val="1a1a1a"/>
          <w:sz w:val="22"/>
          <w:szCs w:val="22"/>
          <w:rtl w:val="0"/>
        </w:rPr>
        <w:t xml:space="preserve">A central concern with any pluripotent cell is the risk of teratoma formation — a benign but sometimes clinically serious tumor arising from uncontrolled pluripotent cell proliferation. This risk is well-documented with embryonic stem cells (ESCs) and induced pluripotent stem cells (iPSCs).</w:t>
      </w:r>
      <w:r w:rsidDel="00000000" w:rsidR="00000000" w:rsidRPr="00000000">
        <w:rPr>
          <w:rtl w:val="0"/>
        </w:rPr>
      </w:r>
    </w:p>
    <w:p w:rsidR="00000000" w:rsidDel="00000000" w:rsidP="00000000" w:rsidRDefault="00000000" w:rsidRPr="00000000" w14:paraId="00000075">
      <w:pPr>
        <w:spacing w:after="120" w:before="0" w:lineRule="auto"/>
        <w:rPr/>
      </w:pPr>
      <w:r w:rsidDel="00000000" w:rsidR="00000000" w:rsidRPr="00000000">
        <w:rPr>
          <w:rFonts w:ascii="Calibri" w:cs="Calibri" w:eastAsia="Calibri" w:hAnsi="Calibri"/>
          <w:color w:val="1a1a1a"/>
          <w:sz w:val="22"/>
          <w:szCs w:val="22"/>
          <w:rtl w:val="0"/>
        </w:rPr>
        <w:t xml:space="preserve">Dezawa MuseCells® are pluripotent but are not tumorigenic. Multiple published studies, including transplantation into the testes of immunodeficient mice (the standard teratoma model), have failed to produce teratomas even after six months of observation.</w:t>
      </w:r>
      <w:r w:rsidDel="00000000" w:rsidR="00000000" w:rsidRPr="00000000">
        <w:rPr>
          <w:rtl w:val="0"/>
        </w:rPr>
      </w:r>
    </w:p>
    <w:p w:rsidR="00000000" w:rsidDel="00000000" w:rsidP="00000000" w:rsidRDefault="00000000" w:rsidRPr="00000000" w14:paraId="00000076">
      <w:pPr>
        <w:spacing w:after="120" w:before="0" w:lineRule="auto"/>
        <w:rPr/>
      </w:pPr>
      <w:r w:rsidDel="00000000" w:rsidR="00000000" w:rsidRPr="00000000">
        <w:rPr>
          <w:rFonts w:ascii="Calibri" w:cs="Calibri" w:eastAsia="Calibri" w:hAnsi="Calibri"/>
          <w:color w:val="1a1a1a"/>
          <w:sz w:val="22"/>
          <w:szCs w:val="22"/>
          <w:rtl w:val="0"/>
        </w:rPr>
        <w:t xml:space="preserve">The biological basis is multi-factorial:</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Low telomerase activity: limits replicative lifespan, preventing unbridled proliferation.</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Somatic-like cell cycle gene expression: levels of cell cycle progression factors in Muse cells resemble somatic cells, not pluripotent stem cells — a contrast to the high expression seen in ESCs and iPSCs.</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Enhanced DNA repair: high expression of ATM kinase and γ-H2AX, along with upregulated non-homologous end-joining enzymes, reduces mutation accumulation over time.</w:t>
      </w: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Context-dependent differentiation: Muse cells differentiate in response to microenvironmental cues at the site of injury — they do not proliferate autonomously or form ectopic tissue.</w:t>
      </w: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Let-7/Lin28 microRNA axis: a molecular brake on pluripotency-associated oncogenic programs (see below).</w:t>
      </w:r>
      <w:r w:rsidDel="00000000" w:rsidR="00000000" w:rsidRPr="00000000">
        <w:rPr>
          <w:rtl w:val="0"/>
        </w:rPr>
      </w:r>
    </w:p>
    <w:p w:rsidR="00000000" w:rsidDel="00000000" w:rsidP="00000000" w:rsidRDefault="00000000" w:rsidRPr="00000000" w14:paraId="0000007C">
      <w:pPr>
        <w:spacing w:after="80" w:before="0" w:lineRule="auto"/>
        <w:rPr/>
      </w:pPr>
      <w:r w:rsidDel="00000000" w:rsidR="00000000" w:rsidRPr="00000000">
        <w:rPr>
          <w:rtl w:val="0"/>
        </w:rPr>
      </w:r>
    </w:p>
    <w:p w:rsidR="00000000" w:rsidDel="00000000" w:rsidP="00000000" w:rsidRDefault="00000000" w:rsidRPr="00000000" w14:paraId="0000007D">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The Let-7 / Lin28 Axis: Regulated Pluripotency</w:t>
      </w:r>
      <w:r w:rsidDel="00000000" w:rsidR="00000000" w:rsidRPr="00000000">
        <w:rPr>
          <w:rtl w:val="0"/>
        </w:rPr>
      </w:r>
    </w:p>
    <w:p w:rsidR="00000000" w:rsidDel="00000000" w:rsidP="00000000" w:rsidRDefault="00000000" w:rsidRPr="00000000" w14:paraId="0000007E">
      <w:pPr>
        <w:spacing w:after="120" w:before="0" w:lineRule="auto"/>
        <w:rPr/>
      </w:pPr>
      <w:r w:rsidDel="00000000" w:rsidR="00000000" w:rsidRPr="00000000">
        <w:rPr>
          <w:rFonts w:ascii="Calibri" w:cs="Calibri" w:eastAsia="Calibri" w:hAnsi="Calibri"/>
          <w:color w:val="1a1a1a"/>
          <w:sz w:val="22"/>
          <w:szCs w:val="22"/>
          <w:rtl w:val="0"/>
        </w:rPr>
        <w:t xml:space="preserve">Perhaps the most mechanistically satisfying explanation for non-tumorigenicity is the behavior of the let-7 microRNA family. Let-7 miRNAs are potent post-transcriptional repressors of oncogenes including c-MYC, KRAS, NRAS, and HMGA2 — genes that drive uncontrolled proliferation and tumorigenic transformation.</w:t>
      </w:r>
      <w:r w:rsidDel="00000000" w:rsidR="00000000" w:rsidRPr="00000000">
        <w:rPr>
          <w:rtl w:val="0"/>
        </w:rPr>
      </w:r>
    </w:p>
    <w:p w:rsidR="00000000" w:rsidDel="00000000" w:rsidP="00000000" w:rsidRDefault="00000000" w:rsidRPr="00000000" w14:paraId="0000007F">
      <w:pPr>
        <w:spacing w:after="120" w:before="0" w:lineRule="auto"/>
        <w:rPr/>
      </w:pPr>
      <w:r w:rsidDel="00000000" w:rsidR="00000000" w:rsidRPr="00000000">
        <w:rPr>
          <w:rFonts w:ascii="Calibri" w:cs="Calibri" w:eastAsia="Calibri" w:hAnsi="Calibri"/>
          <w:color w:val="1a1a1a"/>
          <w:sz w:val="22"/>
          <w:szCs w:val="22"/>
          <w:rtl w:val="0"/>
        </w:rPr>
        <w:t xml:space="preserve">In embryonic stem cells and induced pluripotent stem cells (iPSCs), Lin28A/B proteins actively block the biogenesis of let-7, preventing its maturation from precursor to active form. With let-7 suppressed, these oncogenic targets remain uninhibited — which is one reason ESCs and iPSCs carry genuine teratoma risk despite their therapeutic promise.</w:t>
      </w:r>
      <w:r w:rsidDel="00000000" w:rsidR="00000000" w:rsidRPr="00000000">
        <w:rPr>
          <w:rtl w:val="0"/>
        </w:rPr>
      </w:r>
    </w:p>
    <w:p w:rsidR="00000000" w:rsidDel="00000000" w:rsidP="00000000" w:rsidRDefault="00000000" w:rsidRPr="00000000" w14:paraId="00000080">
      <w:pPr>
        <w:spacing w:after="120" w:before="0" w:lineRule="auto"/>
        <w:rPr/>
      </w:pPr>
      <w:r w:rsidDel="00000000" w:rsidR="00000000" w:rsidRPr="00000000">
        <w:rPr>
          <w:rFonts w:ascii="Calibri" w:cs="Calibri" w:eastAsia="Calibri" w:hAnsi="Calibri"/>
          <w:b w:val="0"/>
          <w:bCs w:val="0"/>
          <w:i w:val="0"/>
          <w:iCs w:val="0"/>
          <w:color w:val="1a1a1a"/>
          <w:sz w:val="22"/>
          <w:szCs w:val="22"/>
          <w:rtl w:val="0"/>
        </w:rPr>
        <w:t xml:space="preserve">In Dezawa MuseCells®, Lin28 is expressed at low, somatic-level activity. </w:t>
      </w:r>
      <w:r w:rsidDel="00000000" w:rsidR="00000000" w:rsidRPr="00000000">
        <w:rPr>
          <w:rFonts w:ascii="Calibri" w:cs="Calibri" w:eastAsia="Calibri" w:hAnsi="Calibri"/>
          <w:b w:val="1"/>
          <w:bCs w:val="1"/>
          <w:i w:val="0"/>
          <w:iCs w:val="0"/>
          <w:color w:val="1a1a1a"/>
          <w:sz w:val="22"/>
          <w:szCs w:val="22"/>
          <w:rtl w:val="0"/>
        </w:rPr>
        <w:t xml:space="preserve">Let-7 matures normally and remains active</w:t>
      </w:r>
      <w:r w:rsidDel="00000000" w:rsidR="00000000" w:rsidRPr="00000000">
        <w:rPr>
          <w:rFonts w:ascii="Calibri" w:cs="Calibri" w:eastAsia="Calibri" w:hAnsi="Calibri"/>
          <w:b w:val="0"/>
          <w:bCs w:val="0"/>
          <w:i w:val="0"/>
          <w:iCs w:val="0"/>
          <w:color w:val="1a1a1a"/>
          <w:sz w:val="22"/>
          <w:szCs w:val="22"/>
          <w:rtl w:val="0"/>
        </w:rPr>
        <w:t xml:space="preserve">, continuously suppressing the same oncogenic targets. The result is a cell that expresses SSEA-3 and the core pluripotency transcription factors (Oct4, SOX2, Nanog) — confirming genuine pluripotency — while simultaneously maintaining active miRNA-mediated restraint over the genes that would drive tumorigenic expansion.</w:t>
      </w:r>
      <w:r w:rsidDel="00000000" w:rsidR="00000000" w:rsidRPr="00000000">
        <w:rPr>
          <w:rtl w:val="0"/>
        </w:rPr>
      </w:r>
    </w:p>
    <w:p w:rsidR="00000000" w:rsidDel="00000000" w:rsidP="00000000" w:rsidRDefault="00000000" w:rsidRPr="00000000" w14:paraId="00000081">
      <w:pPr>
        <w:spacing w:after="120" w:before="0" w:lineRule="auto"/>
        <w:rPr/>
      </w:pPr>
      <w:r w:rsidDel="00000000" w:rsidR="00000000" w:rsidRPr="00000000">
        <w:rPr>
          <w:rFonts w:ascii="Calibri" w:cs="Calibri" w:eastAsia="Calibri" w:hAnsi="Calibri"/>
          <w:color w:val="1a1a1a"/>
          <w:sz w:val="22"/>
          <w:szCs w:val="22"/>
          <w:rtl w:val="0"/>
        </w:rPr>
        <w:t xml:space="preserve">This creates what can be described as regulated pluripotency: the cell retains the capacity for trilineage differentiation but lacks the permissive oncogenic environment that enables unbounded proliferation. It is this distinction — not the absence of pluripotency, but the presence of molecular regulation — that separates Dezawa MuseCells® from other pluripotent platforms on safety.</w:t>
      </w:r>
      <w:r w:rsidDel="00000000" w:rsidR="00000000" w:rsidRPr="00000000">
        <w:rPr>
          <w:rtl w:val="0"/>
        </w:rPr>
      </w:r>
    </w:p>
    <w:p w:rsidR="00000000" w:rsidDel="00000000" w:rsidP="00000000" w:rsidRDefault="00000000" w:rsidRPr="00000000" w14:paraId="00000082">
      <w:pPr>
        <w:spacing w:after="80" w:before="0" w:lineRule="auto"/>
        <w:rPr/>
      </w:pPr>
      <w:r w:rsidDel="00000000" w:rsidR="00000000" w:rsidRPr="00000000">
        <w:rPr>
          <w:rtl w:val="0"/>
        </w:rPr>
      </w:r>
    </w:p>
    <w:tbl>
      <w:tblPr>
        <w:tblStyle w:val="Table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d7b172" w:space="0" w:sz="4" w:val="single"/>
              <w:left w:color="d7b172" w:space="0" w:sz="6" w:val="single"/>
              <w:bottom w:color="d7b172" w:space="0" w:sz="4" w:val="single"/>
              <w:right w:color="d7b172" w:space="0" w:sz="4" w:val="single"/>
            </w:tcBorders>
            <w:shd w:fill="fdf6e8" w:val="clear"/>
            <w:tcMar>
              <w:top w:w="120.0" w:type="dxa"/>
              <w:left w:w="200.0" w:type="dxa"/>
              <w:bottom w:w="120.0" w:type="dxa"/>
              <w:right w:w="120.0" w:type="dxa"/>
            </w:tcMar>
          </w:tcPr>
          <w:p w:rsidR="00000000" w:rsidDel="00000000" w:rsidP="00000000" w:rsidRDefault="00000000" w:rsidRPr="00000000" w14:paraId="00000083">
            <w:pPr>
              <w:rPr/>
            </w:pPr>
            <w:r w:rsidDel="00000000" w:rsidR="00000000" w:rsidRPr="00000000">
              <w:rPr>
                <w:rFonts w:ascii="Calibri" w:cs="Calibri" w:eastAsia="Calibri" w:hAnsi="Calibri"/>
                <w:i w:val="1"/>
                <w:iCs w:val="1"/>
                <w:color w:val="7a5c1e"/>
                <w:sz w:val="22"/>
                <w:szCs w:val="22"/>
                <w:rtl w:val="0"/>
              </w:rPr>
              <w:t xml:space="preserve">The non-tumorigenic safety profile distinguishes Dezawa MuseCells® from other pluripotent cell platforms and is a critical component of MCI’s clinical evidence base across 120+ published papers and multiple Phase II trials.</w:t>
            </w:r>
            <w:r w:rsidDel="00000000" w:rsidR="00000000" w:rsidRPr="00000000">
              <w:rPr>
                <w:rtl w:val="0"/>
              </w:rPr>
            </w:r>
          </w:p>
        </w:tc>
      </w:tr>
    </w:tbl>
    <w:p w:rsidR="00000000" w:rsidDel="00000000" w:rsidP="00000000" w:rsidRDefault="00000000" w:rsidRPr="00000000" w14:paraId="00000084">
      <w:pPr>
        <w:rPr/>
      </w:pPr>
      <w:r w:rsidDel="00000000" w:rsidR="00000000" w:rsidRPr="00000000">
        <w:br w:type="page"/>
      </w:r>
      <w:r w:rsidDel="00000000" w:rsidR="00000000" w:rsidRPr="00000000">
        <w:rPr>
          <w:rtl w:val="0"/>
        </w:rPr>
      </w:r>
    </w:p>
    <w:tbl>
      <w:tblPr>
        <w:tblStyle w:val="Table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f434d" w:space="0" w:sz="4" w:val="single"/>
              <w:left w:color="0f434d" w:space="0" w:sz="4" w:val="single"/>
              <w:bottom w:color="0f434d" w:space="0" w:sz="4" w:val="single"/>
              <w:right w:color="0f434d" w:space="0" w:sz="4" w:val="single"/>
            </w:tcBorders>
            <w:shd w:fill="0f434d" w:val="clear"/>
            <w:tcMar>
              <w:top w:w="80.0" w:type="dxa"/>
              <w:left w:w="200.0" w:type="dxa"/>
              <w:bottom w:w="80.0" w:type="dxa"/>
              <w:right w:w="120.0" w:type="dxa"/>
            </w:tcMar>
          </w:tcPr>
          <w:p w:rsidR="00000000" w:rsidDel="00000000" w:rsidP="00000000" w:rsidRDefault="00000000" w:rsidRPr="00000000" w14:paraId="00000085">
            <w:pPr>
              <w:rPr/>
            </w:pPr>
            <w:r w:rsidDel="00000000" w:rsidR="00000000" w:rsidRPr="00000000">
              <w:rPr>
                <w:rFonts w:ascii="Calibri" w:cs="Calibri" w:eastAsia="Calibri" w:hAnsi="Calibri"/>
                <w:b w:val="1"/>
                <w:bCs w:val="1"/>
                <w:color w:val="ffffff"/>
                <w:sz w:val="20"/>
                <w:szCs w:val="20"/>
                <w:rtl w:val="0"/>
              </w:rPr>
              <w:t xml:space="preserve">SECTION 2  —  MANUFACTURING ADVANTAGES</w:t>
            </w:r>
            <w:r w:rsidDel="00000000" w:rsidR="00000000" w:rsidRPr="00000000">
              <w:rPr>
                <w:rtl w:val="0"/>
              </w:rPr>
            </w:r>
          </w:p>
        </w:tc>
      </w:tr>
    </w:tbl>
    <w:p w:rsidR="00000000" w:rsidDel="00000000" w:rsidP="00000000" w:rsidRDefault="00000000" w:rsidRPr="00000000" w14:paraId="00000086">
      <w:pPr>
        <w:spacing w:after="80" w:before="0" w:lineRule="auto"/>
        <w:rPr/>
      </w:pPr>
      <w:r w:rsidDel="00000000" w:rsidR="00000000" w:rsidRPr="00000000">
        <w:rPr>
          <w:rtl w:val="0"/>
        </w:rPr>
      </w:r>
    </w:p>
    <w:p w:rsidR="00000000" w:rsidDel="00000000" w:rsidP="00000000" w:rsidRDefault="00000000" w:rsidRPr="00000000" w14:paraId="00000087">
      <w:pPr>
        <w:pStyle w:val="Heading1"/>
        <w:spacing w:after="60" w:before="360" w:lineRule="auto"/>
        <w:rPr/>
      </w:pPr>
      <w:r w:rsidDel="00000000" w:rsidR="00000000" w:rsidRPr="00000000">
        <w:rPr>
          <w:rFonts w:ascii="Calibri" w:cs="Calibri" w:eastAsia="Calibri" w:hAnsi="Calibri"/>
          <w:b w:val="1"/>
          <w:bCs w:val="1"/>
          <w:color w:val="0f434d"/>
          <w:sz w:val="36"/>
          <w:szCs w:val="36"/>
          <w:rtl w:val="0"/>
        </w:rPr>
        <w:t xml:space="preserve">Cell Line Standardization and Uniformity</w:t>
      </w:r>
      <w:r w:rsidDel="00000000" w:rsidR="00000000" w:rsidRPr="00000000">
        <w:rPr>
          <w:rtl w:val="0"/>
        </w:rPr>
      </w:r>
    </w:p>
    <w:p w:rsidR="00000000" w:rsidDel="00000000" w:rsidP="00000000" w:rsidRDefault="00000000" w:rsidRPr="00000000" w14:paraId="00000088">
      <w:pPr>
        <w:spacing w:after="120" w:before="0" w:lineRule="auto"/>
        <w:rPr/>
      </w:pPr>
      <w:r w:rsidDel="00000000" w:rsidR="00000000" w:rsidRPr="00000000">
        <w:rPr>
          <w:rFonts w:ascii="Calibri" w:cs="Calibri" w:eastAsia="Calibri" w:hAnsi="Calibri"/>
          <w:color w:val="1a1a1a"/>
          <w:sz w:val="22"/>
          <w:szCs w:val="22"/>
          <w:rtl w:val="0"/>
        </w:rPr>
        <w:t xml:space="preserve">The biological properties described in Section 1 — pluripotency, homing, immune privilege, and non-tumorigenicity — are properties of Dezawa MuseCells® produced exclusively under MCI’s licensed extraction and culture methodology. This is not a minor caveat: it is a foundational scientific fact.</w:t>
      </w:r>
      <w:r w:rsidDel="00000000" w:rsidR="00000000" w:rsidRPr="00000000">
        <w:rPr>
          <w:rtl w:val="0"/>
        </w:rPr>
      </w:r>
    </w:p>
    <w:p w:rsidR="00000000" w:rsidDel="00000000" w:rsidP="00000000" w:rsidRDefault="00000000" w:rsidRPr="00000000" w14:paraId="00000089">
      <w:pPr>
        <w:spacing w:after="120" w:before="0" w:lineRule="auto"/>
        <w:rPr/>
      </w:pPr>
      <w:r w:rsidDel="00000000" w:rsidR="00000000" w:rsidRPr="00000000">
        <w:rPr>
          <w:rFonts w:ascii="Calibri" w:cs="Calibri" w:eastAsia="Calibri" w:hAnsi="Calibri"/>
          <w:b w:val="1"/>
          <w:bCs w:val="1"/>
          <w:i w:val="0"/>
          <w:iCs w:val="0"/>
          <w:color w:val="1a1a1a"/>
          <w:sz w:val="22"/>
          <w:szCs w:val="22"/>
          <w:rtl w:val="0"/>
        </w:rPr>
        <w:t xml:space="preserve">All 120+ published papers, all Phase II trial data, and all safety findings apply only to cells manufactured under the MCI licensed process.</w:t>
      </w:r>
      <w:r w:rsidDel="00000000" w:rsidR="00000000" w:rsidRPr="00000000">
        <w:rPr>
          <w:rFonts w:ascii="Calibri" w:cs="Calibri" w:eastAsia="Calibri" w:hAnsi="Calibri"/>
          <w:b w:val="0"/>
          <w:bCs w:val="0"/>
          <w:i w:val="0"/>
          <w:iCs w:val="0"/>
          <w:color w:val="1a1a1a"/>
          <w:sz w:val="22"/>
          <w:szCs w:val="22"/>
          <w:rtl w:val="0"/>
        </w:rPr>
        <w:t xml:space="preserve"> Products produced using different methods cannot be assumed to carry the same biological profile, safety record, or clinical applicability.</w:t>
      </w:r>
      <w:r w:rsidDel="00000000" w:rsidR="00000000" w:rsidRPr="00000000">
        <w:rPr>
          <w:rtl w:val="0"/>
        </w:rPr>
      </w:r>
    </w:p>
    <w:p w:rsidR="00000000" w:rsidDel="00000000" w:rsidP="00000000" w:rsidRDefault="00000000" w:rsidRPr="00000000" w14:paraId="0000008A">
      <w:pPr>
        <w:spacing w:after="80" w:before="0" w:lineRule="auto"/>
        <w:rPr/>
      </w:pPr>
      <w:r w:rsidDel="00000000" w:rsidR="00000000" w:rsidRPr="00000000">
        <w:rPr>
          <w:rtl w:val="0"/>
        </w:rPr>
      </w:r>
    </w:p>
    <w:p w:rsidR="00000000" w:rsidDel="00000000" w:rsidP="00000000" w:rsidRDefault="00000000" w:rsidRPr="00000000" w14:paraId="0000008B">
      <w:pPr>
        <w:pStyle w:val="Heading2"/>
        <w:spacing w:after="60" w:before="280" w:lineRule="auto"/>
        <w:rPr/>
      </w:pPr>
      <w:r w:rsidDel="00000000" w:rsidR="00000000" w:rsidRPr="00000000">
        <w:rPr>
          <w:rFonts w:ascii="Calibri" w:cs="Calibri" w:eastAsia="Calibri" w:hAnsi="Calibri"/>
          <w:b w:val="1"/>
          <w:bCs w:val="1"/>
          <w:color w:val="0f434d"/>
          <w:sz w:val="28"/>
          <w:szCs w:val="28"/>
          <w:rtl w:val="0"/>
        </w:rPr>
        <w:t xml:space="preserve">The Standardization Imperative</w:t>
      </w:r>
      <w:r w:rsidDel="00000000" w:rsidR="00000000" w:rsidRPr="00000000">
        <w:rPr>
          <w:rtl w:val="0"/>
        </w:rPr>
      </w:r>
    </w:p>
    <w:p w:rsidR="00000000" w:rsidDel="00000000" w:rsidP="00000000" w:rsidRDefault="00000000" w:rsidRPr="00000000" w14:paraId="0000008C">
      <w:pPr>
        <w:spacing w:after="120" w:before="0" w:lineRule="auto"/>
        <w:rPr/>
      </w:pPr>
      <w:r w:rsidDel="00000000" w:rsidR="00000000" w:rsidRPr="00000000">
        <w:rPr>
          <w:rFonts w:ascii="Calibri" w:cs="Calibri" w:eastAsia="Calibri" w:hAnsi="Calibri"/>
          <w:color w:val="1a1a1a"/>
          <w:sz w:val="22"/>
          <w:szCs w:val="22"/>
          <w:rtl w:val="0"/>
        </w:rPr>
        <w:t xml:space="preserve">Stem cell therapy has historically suffered from a reproducibility problem: outcomes vary across centers because cell preparation varies. MCI’s patented manufacturing platform directly addresses this by defining precise, validated parameters at every stage of production.</w:t>
      </w:r>
      <w:r w:rsidDel="00000000" w:rsidR="00000000" w:rsidRPr="00000000">
        <w:rPr>
          <w:rtl w:val="0"/>
        </w:rPr>
      </w:r>
    </w:p>
    <w:p w:rsidR="00000000" w:rsidDel="00000000" w:rsidP="00000000" w:rsidRDefault="00000000" w:rsidRPr="00000000" w14:paraId="0000008D">
      <w:pPr>
        <w:spacing w:after="120" w:before="0" w:lineRule="auto"/>
        <w:rPr/>
      </w:pPr>
      <w:r w:rsidDel="00000000" w:rsidR="00000000" w:rsidRPr="00000000">
        <w:rPr>
          <w:rFonts w:ascii="Calibri" w:cs="Calibri" w:eastAsia="Calibri" w:hAnsi="Calibri"/>
          <w:color w:val="1a1a1a"/>
          <w:sz w:val="22"/>
          <w:szCs w:val="22"/>
          <w:rtl w:val="0"/>
        </w:rPr>
        <w:t xml:space="preserve">Key elements of the standardization framework:</w:t>
      </w:r>
      <w:r w:rsidDel="00000000" w:rsidR="00000000" w:rsidRPr="00000000">
        <w:rPr>
          <w:rtl w:val="0"/>
        </w:rPr>
      </w:r>
    </w:p>
    <w:p w:rsidR="00000000" w:rsidDel="00000000" w:rsidP="00000000" w:rsidRDefault="00000000" w:rsidRPr="00000000" w14:paraId="0000008E">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Source Cell Qualification</w:t>
      </w:r>
      <w:r w:rsidDel="00000000" w:rsidR="00000000" w:rsidRPr="00000000">
        <w:rPr>
          <w:rtl w:val="0"/>
        </w:rPr>
      </w:r>
    </w:p>
    <w:p w:rsidR="00000000" w:rsidDel="00000000" w:rsidP="00000000" w:rsidRDefault="00000000" w:rsidRPr="00000000" w14:paraId="0000008F">
      <w:pPr>
        <w:spacing w:after="120" w:before="0" w:lineRule="auto"/>
        <w:rPr/>
      </w:pPr>
      <w:r w:rsidDel="00000000" w:rsidR="00000000" w:rsidRPr="00000000">
        <w:rPr>
          <w:rFonts w:ascii="Calibri" w:cs="Calibri" w:eastAsia="Calibri" w:hAnsi="Calibri"/>
          <w:color w:val="1a1a1a"/>
          <w:sz w:val="22"/>
          <w:szCs w:val="22"/>
          <w:rtl w:val="0"/>
        </w:rPr>
        <w:t xml:space="preserve">Cells are sourced from validated mesenchymal populations: bone marrow MSCs, normal human dermal fibroblasts, adipose-derived stem cells. Each source undergoes rigorous lot qualification before use, including growth rate, morphology, and spontaneous cluster formation assays.</w:t>
      </w:r>
      <w:r w:rsidDel="00000000" w:rsidR="00000000" w:rsidRPr="00000000">
        <w:rPr>
          <w:rtl w:val="0"/>
        </w:rPr>
      </w:r>
    </w:p>
    <w:p w:rsidR="00000000" w:rsidDel="00000000" w:rsidP="00000000" w:rsidRDefault="00000000" w:rsidRPr="00000000" w14:paraId="00000090">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SSEA-3 Identification and Isolation</w:t>
      </w:r>
      <w:r w:rsidDel="00000000" w:rsidR="00000000" w:rsidRPr="00000000">
        <w:rPr>
          <w:rtl w:val="0"/>
        </w:rPr>
      </w:r>
    </w:p>
    <w:p w:rsidR="00000000" w:rsidDel="00000000" w:rsidP="00000000" w:rsidRDefault="00000000" w:rsidRPr="00000000" w14:paraId="00000091">
      <w:pPr>
        <w:spacing w:after="120" w:before="0" w:lineRule="auto"/>
        <w:rPr/>
      </w:pPr>
      <w:r w:rsidDel="00000000" w:rsidR="00000000" w:rsidRPr="00000000">
        <w:rPr>
          <w:rFonts w:ascii="Calibri" w:cs="Calibri" w:eastAsia="Calibri" w:hAnsi="Calibri"/>
          <w:b w:val="0"/>
          <w:bCs w:val="0"/>
          <w:i w:val="0"/>
          <w:iCs w:val="0"/>
          <w:color w:val="1a1a1a"/>
          <w:sz w:val="22"/>
          <w:szCs w:val="22"/>
          <w:rtl w:val="0"/>
        </w:rPr>
        <w:t xml:space="preserve">Dezawa MuseCells® are isolated via fluorescence-activated cell sorting (FACS) using validated anti-SSEA-3 antibodies (BioLegend Cat#330302 or Thermo Fisher Scientific Cat#MA1-020, clone MC-631). </w:t>
      </w:r>
      <w:r w:rsidDel="00000000" w:rsidR="00000000" w:rsidRPr="00000000">
        <w:rPr>
          <w:rFonts w:ascii="Calibri" w:cs="Calibri" w:eastAsia="Calibri" w:hAnsi="Calibri"/>
          <w:b w:val="1"/>
          <w:bCs w:val="1"/>
          <w:i w:val="0"/>
          <w:iCs w:val="0"/>
          <w:color w:val="1a1a1a"/>
          <w:sz w:val="22"/>
          <w:szCs w:val="22"/>
          <w:rtl w:val="0"/>
        </w:rPr>
        <w:t xml:space="preserve">Antibody lot and manufacturer are quality-critical: not all commercially available anti-SSEA-3 preparations yield reliable Muse cell labeling.</w:t>
      </w:r>
      <w:r w:rsidDel="00000000" w:rsidR="00000000" w:rsidRPr="00000000">
        <w:rPr>
          <w:rFonts w:ascii="Calibri" w:cs="Calibri" w:eastAsia="Calibri" w:hAnsi="Calibri"/>
          <w:b w:val="0"/>
          <w:bCs w:val="0"/>
          <w:i w:val="0"/>
          <w:iCs w:val="0"/>
          <w:color w:val="1a1a1a"/>
          <w:sz w:val="22"/>
          <w:szCs w:val="22"/>
          <w:rtl w:val="0"/>
        </w:rPr>
        <w:t xml:space="preserve"> MCI monitors validated lot availability and communicates updates to licensed partners.</w:t>
      </w:r>
      <w:r w:rsidDel="00000000" w:rsidR="00000000" w:rsidRPr="00000000">
        <w:rPr>
          <w:rtl w:val="0"/>
        </w:rPr>
      </w:r>
    </w:p>
    <w:p w:rsidR="00000000" w:rsidDel="00000000" w:rsidP="00000000" w:rsidRDefault="00000000" w:rsidRPr="00000000" w14:paraId="00000092">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Culture Conditions and Passage Control</w:t>
      </w:r>
      <w:r w:rsidDel="00000000" w:rsidR="00000000" w:rsidRPr="00000000">
        <w:rPr>
          <w:rtl w:val="0"/>
        </w:rPr>
      </w:r>
    </w:p>
    <w:p w:rsidR="00000000" w:rsidDel="00000000" w:rsidP="00000000" w:rsidRDefault="00000000" w:rsidRPr="00000000" w14:paraId="00000093">
      <w:pPr>
        <w:spacing w:after="120" w:before="0" w:lineRule="auto"/>
        <w:rPr/>
      </w:pPr>
      <w:r w:rsidDel="00000000" w:rsidR="00000000" w:rsidRPr="00000000">
        <w:rPr>
          <w:rFonts w:ascii="Calibri" w:cs="Calibri" w:eastAsia="Calibri" w:hAnsi="Calibri"/>
          <w:color w:val="1a1a1a"/>
          <w:sz w:val="22"/>
          <w:szCs w:val="22"/>
          <w:rtl w:val="0"/>
        </w:rPr>
        <w:t xml:space="preserve">Culture parameters are cell-type specific and precisely defined:</w:t>
      </w: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BM-MSCs and dermal fibroblasts: low-glucose DMEM + 10% FBS + 1 ng/mL FGF-2</w:t>
      </w: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Adipose-derived stem cells: high-glucose DMEM + 15% FBS (no FGF-2)</w:t>
      </w: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Subculture strictly at 90% confluence; 1:2 expansion ratio enforced (never 1:3 or greater)</w:t>
      </w: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Operational passage range for optimal Muse cell activity: P4–P10</w:t>
      </w:r>
      <w:r w:rsidDel="00000000" w:rsidR="00000000" w:rsidRPr="00000000">
        <w:rPr>
          <w:rtl w:val="0"/>
        </w:rPr>
      </w:r>
    </w:p>
    <w:p w:rsidR="00000000" w:rsidDel="00000000" w:rsidP="00000000" w:rsidRDefault="00000000" w:rsidRPr="00000000" w14:paraId="00000098">
      <w:pPr>
        <w:spacing w:after="120" w:before="0" w:lineRule="auto"/>
        <w:rPr/>
      </w:pPr>
      <w:r w:rsidDel="00000000" w:rsidR="00000000" w:rsidRPr="00000000">
        <w:rPr>
          <w:rFonts w:ascii="Calibri" w:cs="Calibri" w:eastAsia="Calibri" w:hAnsi="Calibri"/>
          <w:color w:val="1a1a1a"/>
          <w:sz w:val="22"/>
          <w:szCs w:val="22"/>
          <w:rtl w:val="0"/>
        </w:rPr>
        <w:t xml:space="preserve">These parameters are not arbitrary. FBS lot quality, glucose concentration, and FGF-2 grade each independently affect the SSEA-3+ cell ratio and cellular activity. Minor deviations from the licensed protocol introduce variability that is incompatible with the published evidence base.</w:t>
      </w:r>
      <w:r w:rsidDel="00000000" w:rsidR="00000000" w:rsidRPr="00000000">
        <w:rPr>
          <w:rtl w:val="0"/>
        </w:rPr>
      </w:r>
    </w:p>
    <w:p w:rsidR="00000000" w:rsidDel="00000000" w:rsidP="00000000" w:rsidRDefault="00000000" w:rsidRPr="00000000" w14:paraId="00000099">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Serum Lot Qualification</w:t>
      </w:r>
      <w:r w:rsidDel="00000000" w:rsidR="00000000" w:rsidRPr="00000000">
        <w:rPr>
          <w:rtl w:val="0"/>
        </w:rPr>
      </w:r>
    </w:p>
    <w:p w:rsidR="00000000" w:rsidDel="00000000" w:rsidP="00000000" w:rsidRDefault="00000000" w:rsidRPr="00000000" w14:paraId="0000009A">
      <w:pPr>
        <w:spacing w:after="120" w:before="0" w:lineRule="auto"/>
        <w:rPr/>
      </w:pPr>
      <w:r w:rsidDel="00000000" w:rsidR="00000000" w:rsidRPr="00000000">
        <w:rPr>
          <w:rFonts w:ascii="Calibri" w:cs="Calibri" w:eastAsia="Calibri" w:hAnsi="Calibri"/>
          <w:color w:val="1a1a1a"/>
          <w:sz w:val="22"/>
          <w:szCs w:val="22"/>
          <w:rtl w:val="0"/>
        </w:rPr>
        <w:t xml:space="preserve">FBS selection is a critical upstream quality control step. Lots are evaluated across multiple concentrations and suppliers for their effect on cell growth rate, morphology, and cluster formation prior to use in production runs. This level of upstream QC is standard practice under the MCI licensed manufacturing protocol.</w:t>
      </w:r>
      <w:r w:rsidDel="00000000" w:rsidR="00000000" w:rsidRPr="00000000">
        <w:rPr>
          <w:rtl w:val="0"/>
        </w:rPr>
      </w:r>
    </w:p>
    <w:p w:rsidR="00000000" w:rsidDel="00000000" w:rsidP="00000000" w:rsidRDefault="00000000" w:rsidRPr="00000000" w14:paraId="0000009B">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Cryopreservation and Stock Integrity</w:t>
      </w:r>
      <w:r w:rsidDel="00000000" w:rsidR="00000000" w:rsidRPr="00000000">
        <w:rPr>
          <w:rtl w:val="0"/>
        </w:rPr>
      </w:r>
    </w:p>
    <w:p w:rsidR="00000000" w:rsidDel="00000000" w:rsidP="00000000" w:rsidRDefault="00000000" w:rsidRPr="00000000" w14:paraId="0000009C">
      <w:pPr>
        <w:spacing w:after="120" w:before="0" w:lineRule="auto"/>
        <w:rPr/>
      </w:pPr>
      <w:r w:rsidDel="00000000" w:rsidR="00000000" w:rsidRPr="00000000">
        <w:rPr>
          <w:rFonts w:ascii="Calibri" w:cs="Calibri" w:eastAsia="Calibri" w:hAnsi="Calibri"/>
          <w:color w:val="1a1a1a"/>
          <w:sz w:val="22"/>
          <w:szCs w:val="22"/>
          <w:rtl w:val="0"/>
        </w:rPr>
        <w:t xml:space="preserve">Final cell preparations are cryopreserved using validated protocols:</w:t>
      </w: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Cryopreservation medium: Cellbanker 1 Plus at 2–3 × 10⁶ cells/mL</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Short-term storage (2–3 days): −80°C in a controlled-rate freezing container</w:t>
      </w: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Long-term storage: liquid nitrogen (−196°C)</w:t>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Transfer to liquid nitrogen upon receipt; avoid extended storage at −80°C</w:t>
      </w:r>
      <w:r w:rsidDel="00000000" w:rsidR="00000000" w:rsidRPr="00000000">
        <w:rPr>
          <w:rtl w:val="0"/>
        </w:rPr>
      </w:r>
    </w:p>
    <w:p w:rsidR="00000000" w:rsidDel="00000000" w:rsidP="00000000" w:rsidRDefault="00000000" w:rsidRPr="00000000" w14:paraId="000000A1">
      <w:pPr>
        <w:spacing w:after="80" w:before="0" w:lineRule="auto"/>
        <w:rPr/>
      </w:pP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d7b172" w:space="0" w:sz="4" w:val="single"/>
              <w:left w:color="d7b172" w:space="0" w:sz="6" w:val="single"/>
              <w:bottom w:color="d7b172" w:space="0" w:sz="4" w:val="single"/>
              <w:right w:color="d7b172" w:space="0" w:sz="4" w:val="single"/>
            </w:tcBorders>
            <w:shd w:fill="fdf6e8" w:val="clear"/>
            <w:tcMar>
              <w:top w:w="120.0" w:type="dxa"/>
              <w:left w:w="200.0" w:type="dxa"/>
              <w:bottom w:w="120.0" w:type="dxa"/>
              <w:right w:w="120.0" w:type="dxa"/>
            </w:tcMar>
          </w:tcPr>
          <w:p w:rsidR="00000000" w:rsidDel="00000000" w:rsidP="00000000" w:rsidRDefault="00000000" w:rsidRPr="00000000" w14:paraId="000000A2">
            <w:pPr>
              <w:rPr/>
            </w:pPr>
            <w:r w:rsidDel="00000000" w:rsidR="00000000" w:rsidRPr="00000000">
              <w:rPr>
                <w:rFonts w:ascii="Calibri" w:cs="Calibri" w:eastAsia="Calibri" w:hAnsi="Calibri"/>
                <w:i w:val="1"/>
                <w:iCs w:val="1"/>
                <w:color w:val="7a5c1e"/>
                <w:sz w:val="22"/>
                <w:szCs w:val="22"/>
                <w:rtl w:val="0"/>
              </w:rPr>
              <w:t xml:space="preserve">Standardization is MCI’s primary scientific moat. The reproducibility of published findings — and therefore the credibility of the clinical evidence base — depends entirely on manufacturing fidelity to the licensed process.</w:t>
            </w:r>
            <w:r w:rsidDel="00000000" w:rsidR="00000000" w:rsidRPr="00000000">
              <w:rPr>
                <w:rtl w:val="0"/>
              </w:rPr>
            </w:r>
          </w:p>
        </w:tc>
      </w:tr>
    </w:tbl>
    <w:p w:rsidR="00000000" w:rsidDel="00000000" w:rsidP="00000000" w:rsidRDefault="00000000" w:rsidRPr="00000000" w14:paraId="000000A3">
      <w:pPr>
        <w:rPr/>
      </w:pPr>
      <w:r w:rsidDel="00000000" w:rsidR="00000000" w:rsidRPr="00000000">
        <w:br w:type="page"/>
      </w:r>
      <w:r w:rsidDel="00000000" w:rsidR="00000000" w:rsidRPr="00000000">
        <w:rPr>
          <w:rtl w:val="0"/>
        </w:rPr>
      </w:r>
    </w:p>
    <w:tbl>
      <w:tblPr>
        <w:tblStyle w:val="Table1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f434d" w:space="0" w:sz="4" w:val="single"/>
              <w:left w:color="0f434d" w:space="0" w:sz="4" w:val="single"/>
              <w:bottom w:color="0f434d" w:space="0" w:sz="4" w:val="single"/>
              <w:right w:color="0f434d" w:space="0" w:sz="4" w:val="single"/>
            </w:tcBorders>
            <w:shd w:fill="0f434d" w:val="clear"/>
            <w:tcMar>
              <w:top w:w="80.0" w:type="dxa"/>
              <w:left w:w="200.0" w:type="dxa"/>
              <w:bottom w:w="80.0" w:type="dxa"/>
              <w:right w:w="120.0" w:type="dxa"/>
            </w:tcMar>
          </w:tcPr>
          <w:p w:rsidR="00000000" w:rsidDel="00000000" w:rsidP="00000000" w:rsidRDefault="00000000" w:rsidRPr="00000000" w14:paraId="000000A4">
            <w:pPr>
              <w:rPr/>
            </w:pPr>
            <w:r w:rsidDel="00000000" w:rsidR="00000000" w:rsidRPr="00000000">
              <w:rPr>
                <w:rFonts w:ascii="Calibri" w:cs="Calibri" w:eastAsia="Calibri" w:hAnsi="Calibri"/>
                <w:b w:val="1"/>
                <w:bCs w:val="1"/>
                <w:color w:val="ffffff"/>
                <w:sz w:val="20"/>
                <w:szCs w:val="20"/>
                <w:rtl w:val="0"/>
              </w:rPr>
              <w:t xml:space="preserve">SECTION 3  —  HANDLING RECOMMENDATIONS</w:t>
            </w:r>
            <w:r w:rsidDel="00000000" w:rsidR="00000000" w:rsidRPr="00000000">
              <w:rPr>
                <w:rtl w:val="0"/>
              </w:rPr>
            </w:r>
          </w:p>
        </w:tc>
      </w:tr>
    </w:tbl>
    <w:p w:rsidR="00000000" w:rsidDel="00000000" w:rsidP="00000000" w:rsidRDefault="00000000" w:rsidRPr="00000000" w14:paraId="000000A5">
      <w:pPr>
        <w:spacing w:after="80" w:before="0" w:lineRule="auto"/>
        <w:rPr/>
      </w:pPr>
      <w:r w:rsidDel="00000000" w:rsidR="00000000" w:rsidRPr="00000000">
        <w:rPr>
          <w:rtl w:val="0"/>
        </w:rPr>
      </w:r>
    </w:p>
    <w:p w:rsidR="00000000" w:rsidDel="00000000" w:rsidP="00000000" w:rsidRDefault="00000000" w:rsidRPr="00000000" w14:paraId="000000A6">
      <w:pPr>
        <w:pStyle w:val="Heading1"/>
        <w:spacing w:after="60" w:before="360" w:lineRule="auto"/>
        <w:rPr/>
      </w:pPr>
      <w:r w:rsidDel="00000000" w:rsidR="00000000" w:rsidRPr="00000000">
        <w:rPr>
          <w:rFonts w:ascii="Calibri" w:cs="Calibri" w:eastAsia="Calibri" w:hAnsi="Calibri"/>
          <w:b w:val="1"/>
          <w:bCs w:val="1"/>
          <w:color w:val="0f434d"/>
          <w:sz w:val="36"/>
          <w:szCs w:val="36"/>
          <w:rtl w:val="0"/>
        </w:rPr>
        <w:t xml:space="preserve">Handling Recommendations</w:t>
      </w:r>
      <w:r w:rsidDel="00000000" w:rsidR="00000000" w:rsidRPr="00000000">
        <w:rPr>
          <w:rtl w:val="0"/>
        </w:rPr>
      </w:r>
    </w:p>
    <w:p w:rsidR="00000000" w:rsidDel="00000000" w:rsidP="00000000" w:rsidRDefault="00000000" w:rsidRPr="00000000" w14:paraId="000000A7">
      <w:pPr>
        <w:spacing w:after="120" w:before="0" w:lineRule="auto"/>
        <w:rPr/>
      </w:pPr>
      <w:r w:rsidDel="00000000" w:rsidR="00000000" w:rsidRPr="00000000">
        <w:rPr>
          <w:rFonts w:ascii="Calibri" w:cs="Calibri" w:eastAsia="Calibri" w:hAnsi="Calibri"/>
          <w:color w:val="1a1a1a"/>
          <w:sz w:val="22"/>
          <w:szCs w:val="22"/>
          <w:rtl w:val="0"/>
        </w:rPr>
        <w:t xml:space="preserve">Dezawa MuseCells® are living biological products. Their viability and functional activity at the time of administration depend on adherence to validated handling procedures from receipt through administration.</w:t>
      </w:r>
      <w:r w:rsidDel="00000000" w:rsidR="00000000" w:rsidRPr="00000000">
        <w:rPr>
          <w:rtl w:val="0"/>
        </w:rPr>
      </w:r>
    </w:p>
    <w:p w:rsidR="00000000" w:rsidDel="00000000" w:rsidP="00000000" w:rsidRDefault="00000000" w:rsidRPr="00000000" w14:paraId="000000A8">
      <w:pPr>
        <w:spacing w:after="80" w:before="0" w:lineRule="auto"/>
        <w:rPr/>
      </w:pPr>
      <w:r w:rsidDel="00000000" w:rsidR="00000000" w:rsidRPr="00000000">
        <w:rPr>
          <w:rtl w:val="0"/>
        </w:rPr>
      </w:r>
    </w:p>
    <w:p w:rsidR="00000000" w:rsidDel="00000000" w:rsidP="00000000" w:rsidRDefault="00000000" w:rsidRPr="00000000" w14:paraId="000000A9">
      <w:pPr>
        <w:pStyle w:val="Heading2"/>
        <w:spacing w:after="60" w:before="280" w:lineRule="auto"/>
        <w:rPr/>
      </w:pPr>
      <w:r w:rsidDel="00000000" w:rsidR="00000000" w:rsidRPr="00000000">
        <w:rPr>
          <w:rFonts w:ascii="Calibri" w:cs="Calibri" w:eastAsia="Calibri" w:hAnsi="Calibri"/>
          <w:b w:val="1"/>
          <w:bCs w:val="1"/>
          <w:color w:val="0f434d"/>
          <w:sz w:val="28"/>
          <w:szCs w:val="28"/>
          <w:rtl w:val="0"/>
        </w:rPr>
        <w:t xml:space="preserve">Receipt and Storage</w:t>
      </w: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Upon receipt, transfer vials immediately to </w:t>
      </w:r>
      <w:r w:rsidDel="00000000" w:rsidR="00000000" w:rsidRPr="00000000">
        <w:rPr>
          <w:color w:val="1a1a1a"/>
          <w:rtl w:val="0"/>
        </w:rPr>
        <w:t xml:space="preserve">at minimum −80°C.</w:t>
      </w: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 Do not allow cells to remain at ambient temperature for extended periods.</w:t>
      </w: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Confirm vial integrity and lot documentation upon receipt. Report any discrepancies to your MCI-licensed supply partner before proceeding.</w:t>
      </w: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Maintain a documented cold-chain log for each vial.</w:t>
      </w:r>
      <w:r w:rsidDel="00000000" w:rsidR="00000000" w:rsidRPr="00000000">
        <w:rPr>
          <w:rtl w:val="0"/>
        </w:rPr>
      </w:r>
    </w:p>
    <w:p w:rsidR="00000000" w:rsidDel="00000000" w:rsidP="00000000" w:rsidRDefault="00000000" w:rsidRPr="00000000" w14:paraId="000000AD">
      <w:pPr>
        <w:spacing w:after="80" w:before="0" w:lineRule="auto"/>
        <w:rPr/>
      </w:pPr>
      <w:r w:rsidDel="00000000" w:rsidR="00000000" w:rsidRPr="00000000">
        <w:rPr>
          <w:rtl w:val="0"/>
        </w:rPr>
      </w:r>
    </w:p>
    <w:p w:rsidR="00000000" w:rsidDel="00000000" w:rsidP="00000000" w:rsidRDefault="00000000" w:rsidRPr="00000000" w14:paraId="000000AE">
      <w:pPr>
        <w:pStyle w:val="Heading2"/>
        <w:spacing w:after="60" w:before="280" w:lineRule="auto"/>
        <w:rPr/>
      </w:pPr>
      <w:r w:rsidDel="00000000" w:rsidR="00000000" w:rsidRPr="00000000">
        <w:rPr>
          <w:rFonts w:ascii="Calibri" w:cs="Calibri" w:eastAsia="Calibri" w:hAnsi="Calibri"/>
          <w:b w:val="1"/>
          <w:bCs w:val="1"/>
          <w:color w:val="0f434d"/>
          <w:sz w:val="28"/>
          <w:szCs w:val="28"/>
          <w:rtl w:val="0"/>
        </w:rPr>
        <w:t xml:space="preserve">Thawing Protocol</w:t>
      </w:r>
      <w:r w:rsidDel="00000000" w:rsidR="00000000" w:rsidRPr="00000000">
        <w:rPr>
          <w:rtl w:val="0"/>
        </w:rPr>
      </w:r>
    </w:p>
    <w:p w:rsidR="00000000" w:rsidDel="00000000" w:rsidP="00000000" w:rsidRDefault="00000000" w:rsidRPr="00000000" w14:paraId="000000AF">
      <w:pPr>
        <w:spacing w:after="120" w:before="0" w:lineRule="auto"/>
        <w:rPr/>
      </w:pPr>
      <w:r w:rsidDel="00000000" w:rsidR="00000000" w:rsidRPr="00000000">
        <w:rPr>
          <w:rFonts w:ascii="Calibri" w:cs="Calibri" w:eastAsia="Calibri" w:hAnsi="Calibri"/>
          <w:color w:val="1a1a1a"/>
          <w:sz w:val="22"/>
          <w:szCs w:val="22"/>
          <w:rtl w:val="0"/>
        </w:rPr>
        <w:t xml:space="preserve">Cell viability is highly sensitive to thaw technique. Adhere to the following sequence:</w:t>
      </w: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Pre-warm a water bath to 37°C.</w:t>
      </w:r>
      <w:r w:rsidDel="00000000" w:rsidR="00000000" w:rsidRPr="00000000">
        <w:rPr>
          <w:rtl w:val="0"/>
        </w:rPr>
      </w:r>
    </w:p>
    <w:p w:rsidR="00000000" w:rsidDel="00000000" w:rsidP="00000000" w:rsidRDefault="00000000" w:rsidRPr="00000000" w14:paraId="000000B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Remove the vial from liquid nitrogen and transfer immediately to the 37°C bath.</w:t>
      </w:r>
      <w:r w:rsidDel="00000000" w:rsidR="00000000" w:rsidRPr="00000000">
        <w:rPr>
          <w:rtl w:val="0"/>
        </w:rPr>
      </w:r>
    </w:p>
    <w:p w:rsidR="00000000" w:rsidDel="00000000" w:rsidP="00000000" w:rsidRDefault="00000000" w:rsidRPr="00000000" w14:paraId="000000B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Monitor closely and remove the vial while a small ice crystal remains — do not allow complete thawing in the bath, as cells are vulnerable to thermal stress past this point.</w:t>
      </w:r>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Wipe the vial with 70% ethanol and bring to a sterile working environment.</w:t>
      </w:r>
      <w:r w:rsidDel="00000000" w:rsidR="00000000" w:rsidRPr="00000000">
        <w:rPr>
          <w:rtl w:val="0"/>
        </w:rPr>
      </w:r>
    </w:p>
    <w:p w:rsidR="00000000" w:rsidDel="00000000" w:rsidP="00000000" w:rsidRDefault="00000000" w:rsidRPr="00000000" w14:paraId="000000B4">
      <w:pPr>
        <w:spacing w:after="80" w:before="0" w:lineRule="auto"/>
        <w:rPr/>
      </w:pPr>
      <w:r w:rsidDel="00000000" w:rsidR="00000000" w:rsidRPr="00000000">
        <w:rPr>
          <w:rtl w:val="0"/>
        </w:rPr>
      </w:r>
    </w:p>
    <w:p w:rsidR="00000000" w:rsidDel="00000000" w:rsidP="00000000" w:rsidRDefault="00000000" w:rsidRPr="00000000" w14:paraId="000000B5">
      <w:pPr>
        <w:pStyle w:val="Heading2"/>
        <w:spacing w:after="60" w:before="280" w:lineRule="auto"/>
        <w:rPr/>
      </w:pPr>
      <w:r w:rsidDel="00000000" w:rsidR="00000000" w:rsidRPr="00000000">
        <w:rPr>
          <w:rFonts w:ascii="Calibri" w:cs="Calibri" w:eastAsia="Calibri" w:hAnsi="Calibri"/>
          <w:b w:val="1"/>
          <w:bCs w:val="1"/>
          <w:color w:val="0f434d"/>
          <w:sz w:val="28"/>
          <w:szCs w:val="28"/>
          <w:rtl w:val="0"/>
        </w:rPr>
        <w:t xml:space="preserve">General Handling Precautions</w:t>
      </w:r>
      <w:r w:rsidDel="00000000" w:rsidR="00000000" w:rsidRPr="00000000">
        <w:rPr>
          <w:rtl w:val="0"/>
        </w:rPr>
      </w:r>
    </w:p>
    <w:p w:rsidR="00000000" w:rsidDel="00000000" w:rsidP="00000000" w:rsidRDefault="00000000" w:rsidRPr="00000000" w14:paraId="000000B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Use </w:t>
      </w:r>
      <w:r w:rsidDel="00000000" w:rsidR="00000000" w:rsidRPr="00000000">
        <w:rPr>
          <w:color w:val="1a1a1a"/>
          <w:rtl w:val="0"/>
        </w:rPr>
        <w:t xml:space="preserve">27g or greater needle bore ideally for application to </w:t>
      </w: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reduced</w:t>
      </w:r>
      <w:r w:rsidDel="00000000" w:rsidR="00000000" w:rsidRPr="00000000">
        <w:rPr>
          <w:color w:val="1a1a1a"/>
          <w:rtl w:val="0"/>
        </w:rPr>
        <w:t xml:space="preserve"> </w:t>
      </w: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shear stress that damages cells.</w:t>
      </w: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Avoid harsh pipetting, vortexing, or repeated aspiration. All mixing should be gentle to preserve membrane integrity.</w:t>
      </w: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Maintain sterility throughout: work in a certified biosafety cabinet; use aseptic technique for all transfers.</w:t>
      </w:r>
      <w:r w:rsidDel="00000000" w:rsidR="00000000" w:rsidRPr="00000000">
        <w:rPr>
          <w:rtl w:val="0"/>
        </w:rPr>
      </w:r>
    </w:p>
    <w:p w:rsidR="00000000" w:rsidDel="00000000" w:rsidP="00000000" w:rsidRDefault="00000000" w:rsidRPr="00000000" w14:paraId="000000B9">
      <w:pPr>
        <w:spacing w:after="80" w:before="0" w:lineRule="auto"/>
        <w:rPr/>
      </w:pPr>
      <w:r w:rsidDel="00000000" w:rsidR="00000000" w:rsidRPr="00000000">
        <w:rPr>
          <w:rtl w:val="0"/>
        </w:rPr>
      </w:r>
    </w:p>
    <w:p w:rsidR="00000000" w:rsidDel="00000000" w:rsidP="00000000" w:rsidRDefault="00000000" w:rsidRPr="00000000" w14:paraId="000000BA">
      <w:pPr>
        <w:pStyle w:val="Heading2"/>
        <w:spacing w:after="60" w:before="280" w:lineRule="auto"/>
        <w:rPr/>
      </w:pPr>
      <w:r w:rsidDel="00000000" w:rsidR="00000000" w:rsidRPr="00000000">
        <w:rPr>
          <w:rFonts w:ascii="Calibri" w:cs="Calibri" w:eastAsia="Calibri" w:hAnsi="Calibri"/>
          <w:b w:val="1"/>
          <w:bCs w:val="1"/>
          <w:color w:val="0f434d"/>
          <w:sz w:val="28"/>
          <w:szCs w:val="28"/>
          <w:rtl w:val="0"/>
        </w:rPr>
        <w:t xml:space="preserve">Contraindications to Use</w:t>
      </w: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Vials showing evidence of temperature excursion during shipping (e.g., visible thaw-refreeze, abnormal color)</w:t>
      </w:r>
      <w:r w:rsidDel="00000000" w:rsidR="00000000" w:rsidRPr="00000000">
        <w:rPr>
          <w:rtl w:val="0"/>
        </w:rPr>
      </w:r>
    </w:p>
    <w:p w:rsidR="00000000" w:rsidDel="00000000" w:rsidP="00000000" w:rsidRDefault="00000000" w:rsidRPr="00000000" w14:paraId="000000B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Preparations not sourced through an MCI-authorized supply partner</w:t>
      </w: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Cells beyond passage P=10 or prepared outside the licensed protocol</w:t>
      </w:r>
      <w:r w:rsidDel="00000000" w:rsidR="00000000" w:rsidRPr="00000000">
        <w:rPr>
          <w:rtl w:val="0"/>
        </w:rPr>
      </w:r>
    </w:p>
    <w:p w:rsidR="00000000" w:rsidDel="00000000" w:rsidP="00000000" w:rsidRDefault="00000000" w:rsidRPr="00000000" w14:paraId="000000BE">
      <w:pPr>
        <w:spacing w:after="80" w:before="0" w:lineRule="auto"/>
        <w:rPr/>
      </w:pPr>
      <w:r w:rsidDel="00000000" w:rsidR="00000000" w:rsidRPr="00000000">
        <w:rPr>
          <w:rtl w:val="0"/>
        </w:rPr>
      </w:r>
    </w:p>
    <w:tbl>
      <w:tblPr>
        <w:tblStyle w:val="Table1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d7b172" w:space="0" w:sz="4" w:val="single"/>
              <w:left w:color="d7b172" w:space="0" w:sz="6" w:val="single"/>
              <w:bottom w:color="d7b172" w:space="0" w:sz="4" w:val="single"/>
              <w:right w:color="d7b172" w:space="0" w:sz="4" w:val="single"/>
            </w:tcBorders>
            <w:shd w:fill="fdf6e8" w:val="clear"/>
            <w:tcMar>
              <w:top w:w="120.0" w:type="dxa"/>
              <w:left w:w="200.0" w:type="dxa"/>
              <w:bottom w:w="120.0" w:type="dxa"/>
              <w:right w:w="120.0" w:type="dxa"/>
            </w:tcMar>
          </w:tcPr>
          <w:p w:rsidR="00000000" w:rsidDel="00000000" w:rsidP="00000000" w:rsidRDefault="00000000" w:rsidRPr="00000000" w14:paraId="000000BF">
            <w:pPr>
              <w:rPr/>
            </w:pPr>
            <w:r w:rsidDel="00000000" w:rsidR="00000000" w:rsidRPr="00000000">
              <w:rPr>
                <w:rFonts w:ascii="Calibri" w:cs="Calibri" w:eastAsia="Calibri" w:hAnsi="Calibri"/>
                <w:i w:val="1"/>
                <w:iCs w:val="1"/>
                <w:color w:val="7a5c1e"/>
                <w:sz w:val="22"/>
                <w:szCs w:val="22"/>
                <w:rtl w:val="0"/>
              </w:rPr>
              <w:t xml:space="preserve">A preparation with poor viability or compromised cold-chain integrity cannot be assumed to carry the safety or activity profile of the published research. When in doubt, do not administer.</w:t>
            </w:r>
            <w:r w:rsidDel="00000000" w:rsidR="00000000" w:rsidRPr="00000000">
              <w:rPr>
                <w:rtl w:val="0"/>
              </w:rPr>
            </w:r>
          </w:p>
        </w:tc>
      </w:tr>
    </w:tbl>
    <w:p w:rsidR="00000000" w:rsidDel="00000000" w:rsidP="00000000" w:rsidRDefault="00000000" w:rsidRPr="00000000" w14:paraId="000000C0">
      <w:pPr>
        <w:rPr/>
      </w:pPr>
      <w:r w:rsidDel="00000000" w:rsidR="00000000" w:rsidRPr="00000000">
        <w:br w:type="page"/>
      </w:r>
      <w:r w:rsidDel="00000000" w:rsidR="00000000" w:rsidRPr="00000000">
        <w:rPr>
          <w:rtl w:val="0"/>
        </w:rPr>
      </w:r>
    </w:p>
    <w:tbl>
      <w:tblPr>
        <w:tblStyle w:val="Table1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f434d" w:space="0" w:sz="4" w:val="single"/>
              <w:left w:color="0f434d" w:space="0" w:sz="4" w:val="single"/>
              <w:bottom w:color="0f434d" w:space="0" w:sz="4" w:val="single"/>
              <w:right w:color="0f434d" w:space="0" w:sz="4" w:val="single"/>
            </w:tcBorders>
            <w:shd w:fill="0f434d" w:val="clear"/>
            <w:tcMar>
              <w:top w:w="80.0" w:type="dxa"/>
              <w:left w:w="200.0" w:type="dxa"/>
              <w:bottom w:w="80.0" w:type="dxa"/>
              <w:right w:w="120.0" w:type="dxa"/>
            </w:tcMar>
          </w:tcPr>
          <w:p w:rsidR="00000000" w:rsidDel="00000000" w:rsidP="00000000" w:rsidRDefault="00000000" w:rsidRPr="00000000" w14:paraId="000000C1">
            <w:pPr>
              <w:rPr/>
            </w:pPr>
            <w:r w:rsidDel="00000000" w:rsidR="00000000" w:rsidRPr="00000000">
              <w:rPr>
                <w:rFonts w:ascii="Calibri" w:cs="Calibri" w:eastAsia="Calibri" w:hAnsi="Calibri"/>
                <w:b w:val="1"/>
                <w:bCs w:val="1"/>
                <w:color w:val="ffffff"/>
                <w:sz w:val="20"/>
                <w:szCs w:val="20"/>
                <w:rtl w:val="0"/>
              </w:rPr>
              <w:t xml:space="preserve">SECTION 4  —  APPLICATION RECOMMENDATIONS</w:t>
            </w:r>
            <w:r w:rsidDel="00000000" w:rsidR="00000000" w:rsidRPr="00000000">
              <w:rPr>
                <w:rtl w:val="0"/>
              </w:rPr>
            </w:r>
          </w:p>
        </w:tc>
      </w:tr>
    </w:tbl>
    <w:p w:rsidR="00000000" w:rsidDel="00000000" w:rsidP="00000000" w:rsidRDefault="00000000" w:rsidRPr="00000000" w14:paraId="000000C2">
      <w:pPr>
        <w:spacing w:after="80" w:before="0" w:lineRule="auto"/>
        <w:rPr/>
      </w:pPr>
      <w:r w:rsidDel="00000000" w:rsidR="00000000" w:rsidRPr="00000000">
        <w:rPr>
          <w:rtl w:val="0"/>
        </w:rPr>
      </w:r>
    </w:p>
    <w:p w:rsidR="00000000" w:rsidDel="00000000" w:rsidP="00000000" w:rsidRDefault="00000000" w:rsidRPr="00000000" w14:paraId="000000C3">
      <w:pPr>
        <w:pStyle w:val="Heading1"/>
        <w:spacing w:after="60" w:before="360" w:lineRule="auto"/>
        <w:rPr/>
      </w:pPr>
      <w:r w:rsidDel="00000000" w:rsidR="00000000" w:rsidRPr="00000000">
        <w:rPr>
          <w:rFonts w:ascii="Calibri" w:cs="Calibri" w:eastAsia="Calibri" w:hAnsi="Calibri"/>
          <w:b w:val="1"/>
          <w:bCs w:val="1"/>
          <w:color w:val="0f434d"/>
          <w:sz w:val="36"/>
          <w:szCs w:val="36"/>
          <w:rtl w:val="0"/>
        </w:rPr>
        <w:t xml:space="preserve">Application Recommendations</w:t>
      </w:r>
      <w:r w:rsidDel="00000000" w:rsidR="00000000" w:rsidRPr="00000000">
        <w:rPr>
          <w:rtl w:val="0"/>
        </w:rPr>
      </w:r>
    </w:p>
    <w:p w:rsidR="00000000" w:rsidDel="00000000" w:rsidP="00000000" w:rsidRDefault="00000000" w:rsidRPr="00000000" w14:paraId="000000C4">
      <w:pPr>
        <w:spacing w:after="120" w:before="0" w:lineRule="auto"/>
        <w:rPr/>
      </w:pPr>
      <w:r w:rsidDel="00000000" w:rsidR="00000000" w:rsidRPr="00000000">
        <w:rPr>
          <w:rFonts w:ascii="Calibri" w:cs="Calibri" w:eastAsia="Calibri" w:hAnsi="Calibri"/>
          <w:color w:val="1a1a1a"/>
          <w:sz w:val="22"/>
          <w:szCs w:val="22"/>
          <w:rtl w:val="0"/>
        </w:rPr>
        <w:t xml:space="preserve">The following guidance is based on the published Phase II clinical trial data, peer-reviewed mechanistic research, and the biological properties of Dezawa MuseCells® described in Sections 1–3. All clinical decisions remain at the sole discretion of the treating licensed clinician within the applicable regulatory framework of their jurisdiction.</w:t>
      </w:r>
      <w:r w:rsidDel="00000000" w:rsidR="00000000" w:rsidRPr="00000000">
        <w:rPr>
          <w:rtl w:val="0"/>
        </w:rPr>
      </w:r>
    </w:p>
    <w:p w:rsidR="00000000" w:rsidDel="00000000" w:rsidP="00000000" w:rsidRDefault="00000000" w:rsidRPr="00000000" w14:paraId="000000C5">
      <w:pPr>
        <w:spacing w:after="80" w:before="0" w:lineRule="auto"/>
        <w:rPr/>
      </w:pPr>
      <w:r w:rsidDel="00000000" w:rsidR="00000000" w:rsidRPr="00000000">
        <w:rPr>
          <w:rtl w:val="0"/>
        </w:rPr>
      </w:r>
    </w:p>
    <w:p w:rsidR="00000000" w:rsidDel="00000000" w:rsidP="00000000" w:rsidRDefault="00000000" w:rsidRPr="00000000" w14:paraId="000000C6">
      <w:pPr>
        <w:pStyle w:val="Heading2"/>
        <w:spacing w:after="60" w:before="280" w:lineRule="auto"/>
        <w:rPr/>
      </w:pPr>
      <w:r w:rsidDel="00000000" w:rsidR="00000000" w:rsidRPr="00000000">
        <w:rPr>
          <w:rFonts w:ascii="Calibri" w:cs="Calibri" w:eastAsia="Calibri" w:hAnsi="Calibri"/>
          <w:b w:val="1"/>
          <w:bCs w:val="1"/>
          <w:color w:val="0f434d"/>
          <w:sz w:val="28"/>
          <w:szCs w:val="28"/>
          <w:rtl w:val="0"/>
        </w:rPr>
        <w:t xml:space="preserve">Dosing Framework</w:t>
      </w:r>
      <w:r w:rsidDel="00000000" w:rsidR="00000000" w:rsidRPr="00000000">
        <w:rPr>
          <w:rtl w:val="0"/>
        </w:rPr>
      </w:r>
    </w:p>
    <w:p w:rsidR="00000000" w:rsidDel="00000000" w:rsidP="00000000" w:rsidRDefault="00000000" w:rsidRPr="00000000" w14:paraId="000000C7">
      <w:pPr>
        <w:spacing w:after="120" w:before="0" w:lineRule="auto"/>
        <w:rPr/>
      </w:pPr>
      <w:r w:rsidDel="00000000" w:rsidR="00000000" w:rsidRPr="00000000">
        <w:rPr>
          <w:rFonts w:ascii="Calibri" w:cs="Calibri" w:eastAsia="Calibri" w:hAnsi="Calibri"/>
          <w:color w:val="1a1a1a"/>
          <w:sz w:val="22"/>
          <w:szCs w:val="22"/>
          <w:rtl w:val="0"/>
        </w:rPr>
        <w:t xml:space="preserve">Phase II clinical trials in Japan — the most extensive Dezawa MuseCell® clinical dataset — used 15 million cells delivered intravenously as the primary dose. This figure reflects Japanese patient population size and body weight distributions.</w:t>
      </w:r>
      <w:r w:rsidDel="00000000" w:rsidR="00000000" w:rsidRPr="00000000">
        <w:rPr>
          <w:rtl w:val="0"/>
        </w:rPr>
      </w:r>
    </w:p>
    <w:p w:rsidR="00000000" w:rsidDel="00000000" w:rsidP="00000000" w:rsidRDefault="00000000" w:rsidRPr="00000000" w14:paraId="000000C8">
      <w:pPr>
        <w:spacing w:after="120" w:before="0" w:lineRule="auto"/>
        <w:rPr/>
      </w:pPr>
      <w:r w:rsidDel="00000000" w:rsidR="00000000" w:rsidRPr="00000000">
        <w:rPr>
          <w:rFonts w:ascii="Calibri" w:cs="Calibri" w:eastAsia="Calibri" w:hAnsi="Calibri"/>
          <w:color w:val="1a1a1a"/>
          <w:sz w:val="22"/>
          <w:szCs w:val="22"/>
          <w:rtl w:val="0"/>
        </w:rPr>
        <w:t xml:space="preserve">For western patient populations, 20 million cells IV has become the standard starting dose used by MCI-authorized clinical partners, reflecting a proportional adjustment for larger average body size. This figure is not drawn from a Phase III dose-comparison trial — no such trial has been completed — and represents clinical consensus within the authorized practitioner network.</w:t>
      </w:r>
      <w:r w:rsidDel="00000000" w:rsidR="00000000" w:rsidRPr="00000000">
        <w:rPr>
          <w:rtl w:val="0"/>
        </w:rPr>
      </w:r>
    </w:p>
    <w:p w:rsidR="00000000" w:rsidDel="00000000" w:rsidP="00000000" w:rsidRDefault="00000000" w:rsidRPr="00000000" w14:paraId="000000C9">
      <w:pPr>
        <w:spacing w:after="120" w:before="0" w:lineRule="auto"/>
        <w:rPr/>
      </w:pPr>
      <w:r w:rsidDel="00000000" w:rsidR="00000000" w:rsidRPr="00000000">
        <w:rPr>
          <w:rFonts w:ascii="Calibri" w:cs="Calibri" w:eastAsia="Calibri" w:hAnsi="Calibri"/>
          <w:color w:val="1a1a1a"/>
          <w:sz w:val="22"/>
          <w:szCs w:val="22"/>
          <w:rtl w:val="0"/>
        </w:rPr>
        <w:t xml:space="preserve">Published data and clinical experience support the following practical framework:</w:t>
      </w:r>
      <w:r w:rsidDel="00000000" w:rsidR="00000000" w:rsidRPr="00000000">
        <w:rPr>
          <w:rtl w:val="0"/>
        </w:rPr>
      </w:r>
    </w:p>
    <w:p w:rsidR="00000000" w:rsidDel="00000000" w:rsidP="00000000" w:rsidRDefault="00000000" w:rsidRPr="00000000" w14:paraId="000000CA">
      <w:pPr>
        <w:spacing w:after="40" w:before="0" w:lineRule="auto"/>
        <w:rPr/>
      </w:pP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Standard IV dose: 20 million cells- 100 million cells</w:t>
      </w: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Local orthopedic injection dose: </w:t>
      </w:r>
      <w:r w:rsidDel="00000000" w:rsidR="00000000" w:rsidRPr="00000000">
        <w:rPr>
          <w:color w:val="1a1a1a"/>
          <w:rtl w:val="0"/>
        </w:rPr>
        <w:t xml:space="preserve">5-20</w:t>
      </w: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 million cells generally.</w:t>
      </w:r>
      <w:r w:rsidDel="00000000" w:rsidR="00000000" w:rsidRPr="00000000">
        <w:rPr>
          <w:color w:val="1a1a1a"/>
          <w:rtl w:val="0"/>
        </w:rPr>
        <w:t xml:space="preserve"> Based on provider discretion</w:t>
      </w: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No dosing optimization trial has been completed; dose selection within the studied range remains clinician discretion</w:t>
      </w:r>
      <w:r w:rsidDel="00000000" w:rsidR="00000000" w:rsidRPr="00000000">
        <w:rPr>
          <w:rtl w:val="0"/>
        </w:rPr>
      </w:r>
    </w:p>
    <w:p w:rsidR="00000000" w:rsidDel="00000000" w:rsidP="00000000" w:rsidRDefault="00000000" w:rsidRPr="00000000" w14:paraId="000000CE">
      <w:pPr>
        <w:pStyle w:val="Heading2"/>
        <w:spacing w:after="60" w:before="280" w:lineRule="auto"/>
        <w:rPr/>
      </w:pPr>
      <w:r w:rsidDel="00000000" w:rsidR="00000000" w:rsidRPr="00000000">
        <w:rPr>
          <w:rFonts w:ascii="Calibri" w:cs="Calibri" w:eastAsia="Calibri" w:hAnsi="Calibri"/>
          <w:b w:val="1"/>
          <w:bCs w:val="1"/>
          <w:color w:val="0f434d"/>
          <w:sz w:val="28"/>
          <w:szCs w:val="28"/>
          <w:rtl w:val="0"/>
        </w:rPr>
        <w:t xml:space="preserve">Route of Administration</w:t>
      </w:r>
      <w:r w:rsidDel="00000000" w:rsidR="00000000" w:rsidRPr="00000000">
        <w:rPr>
          <w:rtl w:val="0"/>
        </w:rPr>
      </w:r>
    </w:p>
    <w:p w:rsidR="00000000" w:rsidDel="00000000" w:rsidP="00000000" w:rsidRDefault="00000000" w:rsidRPr="00000000" w14:paraId="000000CF">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Intravenous Infusion</w:t>
      </w:r>
      <w:r w:rsidDel="00000000" w:rsidR="00000000" w:rsidRPr="00000000">
        <w:rPr>
          <w:rtl w:val="0"/>
        </w:rPr>
      </w:r>
    </w:p>
    <w:p w:rsidR="00000000" w:rsidDel="00000000" w:rsidP="00000000" w:rsidRDefault="00000000" w:rsidRPr="00000000" w14:paraId="000000D0">
      <w:pPr>
        <w:spacing w:after="120" w:before="0" w:lineRule="auto"/>
        <w:rPr/>
      </w:pPr>
      <w:r w:rsidDel="00000000" w:rsidR="00000000" w:rsidRPr="00000000">
        <w:rPr>
          <w:rFonts w:ascii="Calibri" w:cs="Calibri" w:eastAsia="Calibri" w:hAnsi="Calibri"/>
          <w:color w:val="1a1a1a"/>
          <w:sz w:val="22"/>
          <w:szCs w:val="22"/>
          <w:rtl w:val="0"/>
        </w:rPr>
        <w:t xml:space="preserve">All published Phase II clinical trials used IV infusion as the primary delivery route. IV leverages the S1P–S1PR2 homing axis: cells enter systemic circulation and actively navigate toward any tissue site producing S1P distress signal. This makes IV the preferred route for:</w:t>
      </w: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Systemic or multifocal conditions (neurological, immunological, cardiac)</w:t>
      </w: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Conditions where the injury site is not easily accessible to direct injection</w:t>
      </w:r>
      <w:r w:rsidDel="00000000" w:rsidR="00000000" w:rsidRPr="00000000">
        <w:rPr>
          <w:rtl w:val="0"/>
        </w:rPr>
      </w:r>
    </w:p>
    <w:p w:rsidR="00000000" w:rsidDel="00000000" w:rsidP="00000000" w:rsidRDefault="00000000" w:rsidRPr="00000000" w14:paraId="000000D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Cases where multiple tissue sites are candidates for repair</w:t>
      </w:r>
      <w:r w:rsidDel="00000000" w:rsidR="00000000" w:rsidRPr="00000000">
        <w:rPr>
          <w:rtl w:val="0"/>
        </w:rPr>
      </w:r>
    </w:p>
    <w:p w:rsidR="00000000" w:rsidDel="00000000" w:rsidP="00000000" w:rsidRDefault="00000000" w:rsidRPr="00000000" w14:paraId="000000D4">
      <w:pPr>
        <w:spacing w:after="40" w:before="0" w:lineRule="auto"/>
        <w:rPr/>
      </w:pPr>
      <w:r w:rsidDel="00000000" w:rsidR="00000000" w:rsidRPr="00000000">
        <w:rPr>
          <w:rtl w:val="0"/>
        </w:rPr>
      </w:r>
    </w:p>
    <w:p w:rsidR="00000000" w:rsidDel="00000000" w:rsidP="00000000" w:rsidRDefault="00000000" w:rsidRPr="00000000" w14:paraId="000000D5">
      <w:pPr>
        <w:spacing w:after="120" w:before="0" w:lineRule="auto"/>
        <w:rPr/>
      </w:pPr>
      <w:r w:rsidDel="00000000" w:rsidR="00000000" w:rsidRPr="00000000">
        <w:rPr>
          <w:rFonts w:ascii="Calibri" w:cs="Calibri" w:eastAsia="Calibri" w:hAnsi="Calibri"/>
          <w:color w:val="1a1a1a"/>
          <w:sz w:val="22"/>
          <w:szCs w:val="22"/>
          <w:rtl w:val="0"/>
        </w:rPr>
        <w:t xml:space="preserve">Clinical note: Because Dezawa MuseCells® home to any site producing an S1P signal, IV administration will distribute cells to every active inflammatory or injured site in the body — not solely the primary treatment target. In a patient with multiple co-morbidities, this is usually beneficial. In a patient with a single orthopedic target and a low-grade inflammatory condition elsewhere, clinician judgment should guide whether IV or local administration better serves the clinical goal.</w:t>
      </w:r>
      <w:r w:rsidDel="00000000" w:rsidR="00000000" w:rsidRPr="00000000">
        <w:rPr>
          <w:rtl w:val="0"/>
        </w:rPr>
      </w:r>
    </w:p>
    <w:p w:rsidR="00000000" w:rsidDel="00000000" w:rsidP="00000000" w:rsidRDefault="00000000" w:rsidRPr="00000000" w14:paraId="000000D6">
      <w:pPr>
        <w:spacing w:after="80" w:before="0" w:lineRule="auto"/>
        <w:rPr/>
      </w:pPr>
      <w:r w:rsidDel="00000000" w:rsidR="00000000" w:rsidRPr="00000000">
        <w:rPr>
          <w:rtl w:val="0"/>
        </w:rPr>
      </w:r>
    </w:p>
    <w:p w:rsidR="00000000" w:rsidDel="00000000" w:rsidP="00000000" w:rsidRDefault="00000000" w:rsidRPr="00000000" w14:paraId="000000D7">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Local Injection</w:t>
      </w:r>
      <w:r w:rsidDel="00000000" w:rsidR="00000000" w:rsidRPr="00000000">
        <w:rPr>
          <w:rtl w:val="0"/>
        </w:rPr>
      </w:r>
    </w:p>
    <w:p w:rsidR="00000000" w:rsidDel="00000000" w:rsidP="00000000" w:rsidRDefault="00000000" w:rsidRPr="00000000" w14:paraId="000000D8">
      <w:pPr>
        <w:spacing w:after="120" w:before="0" w:lineRule="auto"/>
        <w:rPr/>
      </w:pPr>
      <w:r w:rsidDel="00000000" w:rsidR="00000000" w:rsidRPr="00000000">
        <w:rPr>
          <w:rFonts w:ascii="Calibri" w:cs="Calibri" w:eastAsia="Calibri" w:hAnsi="Calibri"/>
          <w:color w:val="1a1a1a"/>
          <w:sz w:val="22"/>
          <w:szCs w:val="22"/>
          <w:rtl w:val="0"/>
        </w:rPr>
        <w:t xml:space="preserve">Local injection places cells directly at the target tissue site. Clinical experience from MCI-authorized practitioners indicates local injection produces reliable, concentrated effect at the target site.</w:t>
      </w:r>
      <w:r w:rsidDel="00000000" w:rsidR="00000000" w:rsidRPr="00000000">
        <w:rPr>
          <w:rtl w:val="0"/>
        </w:rPr>
      </w:r>
    </w:p>
    <w:p w:rsidR="00000000" w:rsidDel="00000000" w:rsidP="00000000" w:rsidRDefault="00000000" w:rsidRPr="00000000" w14:paraId="000000D9">
      <w:pPr>
        <w:spacing w:after="120" w:before="0" w:lineRule="auto"/>
        <w:rPr/>
      </w:pPr>
      <w:r w:rsidDel="00000000" w:rsidR="00000000" w:rsidRPr="00000000">
        <w:rPr>
          <w:rFonts w:ascii="Calibri" w:cs="Calibri" w:eastAsia="Calibri" w:hAnsi="Calibri"/>
          <w:color w:val="1a1a1a"/>
          <w:sz w:val="22"/>
          <w:szCs w:val="22"/>
          <w:rtl w:val="0"/>
        </w:rPr>
        <w:t xml:space="preserve">An important and non-intuitive observation: local injection also produces measurable systemic effect. Cases have been documented where patients receiving local knee or hip injections for orthopedic indications experienced improvement in remote conditions, including inflammatory bowel conditions and other systemic inflammatory states. This is consistent with the paracrine and immune-regulatory properties of Muse cells described in Section 1.</w:t>
      </w:r>
      <w:r w:rsidDel="00000000" w:rsidR="00000000" w:rsidRPr="00000000">
        <w:rPr>
          <w:rtl w:val="0"/>
        </w:rPr>
      </w:r>
    </w:p>
    <w:p w:rsidR="00000000" w:rsidDel="00000000" w:rsidP="00000000" w:rsidRDefault="00000000" w:rsidRPr="00000000" w14:paraId="000000DA">
      <w:pPr>
        <w:spacing w:after="120" w:before="0" w:lineRule="auto"/>
        <w:rPr/>
      </w:pPr>
      <w:r w:rsidDel="00000000" w:rsidR="00000000" w:rsidRPr="00000000">
        <w:rPr>
          <w:rFonts w:ascii="Calibri" w:cs="Calibri" w:eastAsia="Calibri" w:hAnsi="Calibri"/>
          <w:color w:val="1a1a1a"/>
          <w:sz w:val="22"/>
          <w:szCs w:val="22"/>
          <w:rtl w:val="0"/>
        </w:rPr>
        <w:t xml:space="preserve">Local injection is recommended as the primary route when:</w:t>
      </w:r>
      <w:r w:rsidDel="00000000" w:rsidR="00000000" w:rsidRPr="00000000">
        <w:rPr>
          <w:rtl w:val="0"/>
        </w:rPr>
      </w:r>
    </w:p>
    <w:p w:rsidR="00000000" w:rsidDel="00000000" w:rsidP="00000000" w:rsidRDefault="00000000" w:rsidRPr="00000000" w14:paraId="000000D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The primary treatment target is a specific, accessible anatomical site (joint, tendon, disc)</w:t>
      </w:r>
      <w:r w:rsidDel="00000000" w:rsidR="00000000" w:rsidRPr="00000000">
        <w:rPr>
          <w:rtl w:val="0"/>
        </w:rPr>
      </w:r>
    </w:p>
    <w:p w:rsidR="00000000" w:rsidDel="00000000" w:rsidP="00000000" w:rsidRDefault="00000000" w:rsidRPr="00000000" w14:paraId="000000D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The clinical goal is maximally concentrated local tissue repair</w:t>
      </w:r>
      <w:r w:rsidDel="00000000" w:rsidR="00000000" w:rsidRPr="00000000">
        <w:rPr>
          <w:rtl w:val="0"/>
        </w:rPr>
      </w:r>
    </w:p>
    <w:p w:rsidR="00000000" w:rsidDel="00000000" w:rsidP="00000000" w:rsidRDefault="00000000" w:rsidRPr="00000000" w14:paraId="000000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The practitioner wants to minimize cell distribution to unintended sites</w:t>
      </w:r>
      <w:r w:rsidDel="00000000" w:rsidR="00000000" w:rsidRPr="00000000">
        <w:rPr>
          <w:rtl w:val="0"/>
        </w:rPr>
      </w:r>
    </w:p>
    <w:p w:rsidR="00000000" w:rsidDel="00000000" w:rsidP="00000000" w:rsidRDefault="00000000" w:rsidRPr="00000000" w14:paraId="000000DE">
      <w:pPr>
        <w:spacing w:after="80" w:before="0" w:lineRule="auto"/>
        <w:rPr/>
      </w:pPr>
      <w:r w:rsidDel="00000000" w:rsidR="00000000" w:rsidRPr="00000000">
        <w:rPr>
          <w:rtl w:val="0"/>
        </w:rPr>
      </w:r>
    </w:p>
    <w:p w:rsidR="00000000" w:rsidDel="00000000" w:rsidP="00000000" w:rsidRDefault="00000000" w:rsidRPr="00000000" w14:paraId="000000DF">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Combined IV + Local Injection</w:t>
      </w:r>
      <w:r w:rsidDel="00000000" w:rsidR="00000000" w:rsidRPr="00000000">
        <w:rPr>
          <w:rtl w:val="0"/>
        </w:rPr>
      </w:r>
    </w:p>
    <w:p w:rsidR="00000000" w:rsidDel="00000000" w:rsidP="00000000" w:rsidRDefault="00000000" w:rsidRPr="00000000" w14:paraId="000000E0">
      <w:pPr>
        <w:spacing w:after="120" w:before="0" w:lineRule="auto"/>
        <w:rPr/>
      </w:pPr>
      <w:r w:rsidDel="00000000" w:rsidR="00000000" w:rsidRPr="00000000">
        <w:rPr>
          <w:rFonts w:ascii="Calibri" w:cs="Calibri" w:eastAsia="Calibri" w:hAnsi="Calibri"/>
          <w:color w:val="1a1a1a"/>
          <w:sz w:val="22"/>
          <w:szCs w:val="22"/>
          <w:rtl w:val="0"/>
        </w:rPr>
        <w:t xml:space="preserve">Some authorized clinicians use a combined approach — IV delivery for systemic distribution and local injection for targeted concentration at the primary site. This approach is not formally studied in a controlled trial but follows from the independent mechanistic rationale of both routes. For complex orthopedic cases where systemic support is also clinically warranted, this is a reasonable clinical consideration.</w:t>
      </w:r>
      <w:r w:rsidDel="00000000" w:rsidR="00000000" w:rsidRPr="00000000">
        <w:rPr>
          <w:rtl w:val="0"/>
        </w:rPr>
      </w:r>
    </w:p>
    <w:p w:rsidR="00000000" w:rsidDel="00000000" w:rsidP="00000000" w:rsidRDefault="00000000" w:rsidRPr="00000000" w14:paraId="000000E1">
      <w:pPr>
        <w:spacing w:after="80" w:before="0" w:lineRule="auto"/>
        <w:rPr/>
      </w:pPr>
      <w:r w:rsidDel="00000000" w:rsidR="00000000" w:rsidRPr="00000000">
        <w:rPr>
          <w:rtl w:val="0"/>
        </w:rPr>
      </w:r>
    </w:p>
    <w:p w:rsidR="00000000" w:rsidDel="00000000" w:rsidP="00000000" w:rsidRDefault="00000000" w:rsidRPr="00000000" w14:paraId="000000E2">
      <w:pPr>
        <w:pStyle w:val="Heading2"/>
        <w:spacing w:after="60" w:before="280" w:lineRule="auto"/>
        <w:rPr/>
      </w:pPr>
      <w:r w:rsidDel="00000000" w:rsidR="00000000" w:rsidRPr="00000000">
        <w:rPr>
          <w:rFonts w:ascii="Calibri" w:cs="Calibri" w:eastAsia="Calibri" w:hAnsi="Calibri"/>
          <w:b w:val="1"/>
          <w:bCs w:val="1"/>
          <w:color w:val="0f434d"/>
          <w:sz w:val="28"/>
          <w:szCs w:val="28"/>
          <w:rtl w:val="0"/>
        </w:rPr>
        <w:t xml:space="preserve">MuseCells® vs. MuseSecretome™ / MuseExosomes®</w:t>
      </w:r>
      <w:r w:rsidDel="00000000" w:rsidR="00000000" w:rsidRPr="00000000">
        <w:rPr>
          <w:rtl w:val="0"/>
        </w:rPr>
      </w:r>
    </w:p>
    <w:p w:rsidR="00000000" w:rsidDel="00000000" w:rsidP="00000000" w:rsidRDefault="00000000" w:rsidRPr="00000000" w14:paraId="000000E3">
      <w:pPr>
        <w:spacing w:after="120" w:before="0" w:lineRule="auto"/>
        <w:rPr/>
      </w:pPr>
      <w:r w:rsidDel="00000000" w:rsidR="00000000" w:rsidRPr="00000000">
        <w:rPr>
          <w:rFonts w:ascii="Calibri" w:cs="Calibri" w:eastAsia="Calibri" w:hAnsi="Calibri"/>
          <w:color w:val="1a1a1a"/>
          <w:sz w:val="22"/>
          <w:szCs w:val="22"/>
          <w:rtl w:val="0"/>
        </w:rPr>
        <w:t xml:space="preserve">Dezawa MuseCells® are the primary therapeutic product. They are living cells capable of active homing, engraftment into damaged tissue, in vivo differentiation, and long-term integration into host tissue. These properties drive the outcomes documented in published Phase II trials.</w:t>
      </w:r>
      <w:r w:rsidDel="00000000" w:rsidR="00000000" w:rsidRPr="00000000">
        <w:rPr>
          <w:rtl w:val="0"/>
        </w:rPr>
      </w:r>
    </w:p>
    <w:p w:rsidR="00000000" w:rsidDel="00000000" w:rsidP="00000000" w:rsidRDefault="00000000" w:rsidRPr="00000000" w14:paraId="000000E4">
      <w:pPr>
        <w:spacing w:after="120" w:before="0" w:lineRule="auto"/>
        <w:rPr/>
      </w:pPr>
      <w:r w:rsidDel="00000000" w:rsidR="00000000" w:rsidRPr="00000000">
        <w:rPr>
          <w:rFonts w:ascii="Calibri" w:cs="Calibri" w:eastAsia="Calibri" w:hAnsi="Calibri"/>
          <w:color w:val="1a1a1a"/>
          <w:sz w:val="22"/>
          <w:szCs w:val="22"/>
          <w:rtl w:val="0"/>
        </w:rPr>
        <w:t xml:space="preserve">MuseSecretomes™ and MuseExosomes® contain the paracrine signaling fraction produced by Muse cells — cytokines, growth factors, extracellular vesicles. They are cell-free, non-living products. They do not engraft or differentiate. Their clinical effect is paracrine: anti-inflammatory signaling, cellular microenvironment support, and potentially facilitated repair.</w:t>
      </w:r>
      <w:r w:rsidDel="00000000" w:rsidR="00000000" w:rsidRPr="00000000">
        <w:rPr>
          <w:rtl w:val="0"/>
        </w:rPr>
      </w:r>
    </w:p>
    <w:p w:rsidR="00000000" w:rsidDel="00000000" w:rsidP="00000000" w:rsidRDefault="00000000" w:rsidRPr="00000000" w14:paraId="000000E5">
      <w:pPr>
        <w:spacing w:after="120" w:before="0" w:lineRule="auto"/>
        <w:rPr/>
      </w:pPr>
      <w:r w:rsidDel="00000000" w:rsidR="00000000" w:rsidRPr="00000000">
        <w:rPr>
          <w:rFonts w:ascii="Calibri" w:cs="Calibri" w:eastAsia="Calibri" w:hAnsi="Calibri"/>
          <w:color w:val="1a1a1a"/>
          <w:sz w:val="22"/>
          <w:szCs w:val="22"/>
          <w:rtl w:val="0"/>
        </w:rPr>
        <w:t xml:space="preserve">The Muse-derived secretome has been observed to contain a distinct profile of cellular resilience factors not present at comparable concentrations in secretomes from conventional MSC preparations, consistent with the different biology of the parent cell. However, the secretome and the living cell product are not interchangeable.</w:t>
      </w:r>
      <w:r w:rsidDel="00000000" w:rsidR="00000000" w:rsidRPr="00000000">
        <w:rPr>
          <w:rtl w:val="0"/>
        </w:rPr>
      </w:r>
    </w:p>
    <w:p w:rsidR="00000000" w:rsidDel="00000000" w:rsidP="00000000" w:rsidRDefault="00000000" w:rsidRPr="00000000" w14:paraId="000000E6">
      <w:pPr>
        <w:spacing w:after="120" w:before="0" w:lineRule="auto"/>
        <w:rPr/>
      </w:pPr>
      <w:r w:rsidDel="00000000" w:rsidR="00000000" w:rsidRPr="00000000">
        <w:rPr>
          <w:rFonts w:ascii="Calibri" w:cs="Calibri" w:eastAsia="Calibri" w:hAnsi="Calibri"/>
          <w:color w:val="1a1a1a"/>
          <w:sz w:val="22"/>
          <w:szCs w:val="22"/>
          <w:rtl w:val="0"/>
        </w:rPr>
        <w:t xml:space="preserve">Appropriate use cases for secretome/exosome products as adjunct or primary therapy:</w:t>
      </w:r>
      <w:r w:rsidDel="00000000" w:rsidR="00000000" w:rsidRPr="00000000">
        <w:rPr>
          <w:rtl w:val="0"/>
        </w:rPr>
      </w:r>
    </w:p>
    <w:p w:rsidR="00000000" w:rsidDel="00000000" w:rsidP="00000000" w:rsidRDefault="00000000" w:rsidRPr="00000000" w14:paraId="000000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High-inflammatory or active autoimmune states: Use secretome/exosomes to reduce the inflammatory burden and prepare the environment before or alongside cell administration. Patients with highly inflammatory profiles may experience a transient flare after cell administration; pre-treatment with secretome can reduce this risk.</w:t>
      </w:r>
      <w:r w:rsidDel="00000000" w:rsidR="00000000" w:rsidRPr="00000000">
        <w:rPr>
          <w:rtl w:val="0"/>
        </w:rPr>
      </w:r>
    </w:p>
    <w:p w:rsidR="00000000" w:rsidDel="00000000" w:rsidP="00000000" w:rsidRDefault="00000000" w:rsidRPr="00000000" w14:paraId="000000E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Aesthetic and topical applications: Paracrine signaling support for skin, wound healing, and related tissue where living cell engraftment is not the therapeutic goal.</w:t>
      </w:r>
      <w:r w:rsidDel="00000000" w:rsidR="00000000" w:rsidRPr="00000000">
        <w:rPr>
          <w:rtl w:val="0"/>
        </w:rPr>
      </w:r>
    </w:p>
    <w:p w:rsidR="00000000" w:rsidDel="00000000" w:rsidP="00000000" w:rsidRDefault="00000000" w:rsidRPr="00000000" w14:paraId="000000E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Cases where cellular product is clinically contraindicated: Secretome provides an alternative therapeutic modality.</w:t>
      </w:r>
      <w:r w:rsidDel="00000000" w:rsidR="00000000" w:rsidRPr="00000000">
        <w:rPr>
          <w:rtl w:val="0"/>
        </w:rPr>
      </w:r>
    </w:p>
    <w:p w:rsidR="00000000" w:rsidDel="00000000" w:rsidP="00000000" w:rsidRDefault="00000000" w:rsidRPr="00000000" w14:paraId="000000E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Bridging or maintenance: In patients who have previously received cells, periodic secretome administration may extend the paracrine microenvironment effect.</w:t>
      </w:r>
      <w:r w:rsidDel="00000000" w:rsidR="00000000" w:rsidRPr="00000000">
        <w:rPr>
          <w:rtl w:val="0"/>
        </w:rPr>
      </w:r>
    </w:p>
    <w:p w:rsidR="00000000" w:rsidDel="00000000" w:rsidP="00000000" w:rsidRDefault="00000000" w:rsidRPr="00000000" w14:paraId="000000EB">
      <w:pPr>
        <w:spacing w:after="80" w:before="0" w:lineRule="auto"/>
        <w:rPr/>
      </w:pPr>
      <w:r w:rsidDel="00000000" w:rsidR="00000000" w:rsidRPr="00000000">
        <w:rPr>
          <w:rtl w:val="0"/>
        </w:rPr>
      </w:r>
    </w:p>
    <w:tbl>
      <w:tblPr>
        <w:tblStyle w:val="Table1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d7b172" w:space="0" w:sz="4" w:val="single"/>
              <w:left w:color="d7b172" w:space="0" w:sz="6" w:val="single"/>
              <w:bottom w:color="d7b172" w:space="0" w:sz="4" w:val="single"/>
              <w:right w:color="d7b172" w:space="0" w:sz="4" w:val="single"/>
            </w:tcBorders>
            <w:shd w:fill="fdf6e8" w:val="clear"/>
            <w:tcMar>
              <w:top w:w="120.0" w:type="dxa"/>
              <w:left w:w="200.0" w:type="dxa"/>
              <w:bottom w:w="120.0" w:type="dxa"/>
              <w:right w:w="120.0" w:type="dxa"/>
            </w:tcMar>
          </w:tcPr>
          <w:p w:rsidR="00000000" w:rsidDel="00000000" w:rsidP="00000000" w:rsidRDefault="00000000" w:rsidRPr="00000000" w14:paraId="000000EC">
            <w:pPr>
              <w:rPr/>
            </w:pPr>
            <w:r w:rsidDel="00000000" w:rsidR="00000000" w:rsidRPr="00000000">
              <w:rPr>
                <w:rFonts w:ascii="Calibri" w:cs="Calibri" w:eastAsia="Calibri" w:hAnsi="Calibri"/>
                <w:i w:val="1"/>
                <w:iCs w:val="1"/>
                <w:color w:val="7a5c1e"/>
                <w:sz w:val="22"/>
                <w:szCs w:val="22"/>
                <w:rtl w:val="0"/>
              </w:rPr>
              <w:t xml:space="preserve">Clinical principle: Do not assume that secretome and cells are equivalent or interchangeable. Cells are the primary therapeutic agent. Secretome is an adjunct or alternative with a different mechanism and a different clinical profile. Both have a role — understanding which role each serves is essential for informed application.</w:t>
            </w:r>
            <w:r w:rsidDel="00000000" w:rsidR="00000000" w:rsidRPr="00000000">
              <w:rPr>
                <w:rtl w:val="0"/>
              </w:rPr>
            </w:r>
          </w:p>
        </w:tc>
      </w:tr>
    </w:tbl>
    <w:p w:rsidR="00000000" w:rsidDel="00000000" w:rsidP="00000000" w:rsidRDefault="00000000" w:rsidRPr="00000000" w14:paraId="000000ED">
      <w:pPr>
        <w:spacing w:after="80" w:before="0" w:lineRule="auto"/>
        <w:rPr/>
      </w:pPr>
      <w:r w:rsidDel="00000000" w:rsidR="00000000" w:rsidRPr="00000000">
        <w:rPr>
          <w:rtl w:val="0"/>
        </w:rPr>
      </w:r>
    </w:p>
    <w:p w:rsidR="00000000" w:rsidDel="00000000" w:rsidP="00000000" w:rsidRDefault="00000000" w:rsidRPr="00000000" w14:paraId="000000EE">
      <w:pPr>
        <w:pStyle w:val="Heading2"/>
        <w:spacing w:after="60" w:before="280" w:lineRule="auto"/>
        <w:rPr/>
      </w:pPr>
      <w:r w:rsidDel="00000000" w:rsidR="00000000" w:rsidRPr="00000000">
        <w:rPr>
          <w:rFonts w:ascii="Calibri" w:cs="Calibri" w:eastAsia="Calibri" w:hAnsi="Calibri"/>
          <w:b w:val="1"/>
          <w:bCs w:val="1"/>
          <w:color w:val="0f434d"/>
          <w:sz w:val="28"/>
          <w:szCs w:val="28"/>
          <w:rtl w:val="0"/>
        </w:rPr>
        <w:t xml:space="preserve">Monitoring and Follow-up</w:t>
      </w:r>
      <w:r w:rsidDel="00000000" w:rsidR="00000000" w:rsidRPr="00000000">
        <w:rPr>
          <w:rtl w:val="0"/>
        </w:rPr>
      </w:r>
    </w:p>
    <w:p w:rsidR="00000000" w:rsidDel="00000000" w:rsidP="00000000" w:rsidRDefault="00000000" w:rsidRPr="00000000" w14:paraId="000000E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Standard post-infusion monitoring per institutional protocols for biological product administration.</w:t>
      </w:r>
      <w:r w:rsidDel="00000000" w:rsidR="00000000" w:rsidRPr="00000000">
        <w:rPr>
          <w:rtl w:val="0"/>
        </w:rPr>
      </w:r>
    </w:p>
    <w:p w:rsidR="00000000" w:rsidDel="00000000" w:rsidP="00000000" w:rsidRDefault="00000000" w:rsidRPr="00000000" w14:paraId="000000F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Document administration details including lot number, passage, viability at time of infusion, route, and dose — this supports pharmacovigilance and outcomes tracking.</w:t>
      </w:r>
      <w:r w:rsidDel="00000000" w:rsidR="00000000" w:rsidRPr="00000000">
        <w:rPr>
          <w:rtl w:val="0"/>
        </w:rPr>
      </w:r>
    </w:p>
    <w:p w:rsidR="00000000" w:rsidDel="00000000" w:rsidP="00000000" w:rsidRDefault="00000000" w:rsidRPr="00000000" w14:paraId="000000F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Report adverse events to your MCI-licensed supply partner per the applicable pharmacovigilance framework.</w:t>
      </w:r>
      <w:r w:rsidDel="00000000" w:rsidR="00000000" w:rsidRPr="00000000">
        <w:rPr>
          <w:rtl w:val="0"/>
        </w:rPr>
      </w:r>
    </w:p>
    <w:p w:rsidR="00000000" w:rsidDel="00000000" w:rsidP="00000000" w:rsidRDefault="00000000" w:rsidRPr="00000000" w14:paraId="000000F2">
      <w:pPr>
        <w:spacing w:after="80" w:before="0" w:lineRule="auto"/>
        <w:rPr/>
      </w:pPr>
      <w:r w:rsidDel="00000000" w:rsidR="00000000" w:rsidRPr="00000000">
        <w:rPr>
          <w:rtl w:val="0"/>
        </w:rPr>
      </w:r>
    </w:p>
    <w:p w:rsidR="00000000" w:rsidDel="00000000" w:rsidP="00000000" w:rsidRDefault="00000000" w:rsidRPr="00000000" w14:paraId="000000F3">
      <w:pPr>
        <w:rPr/>
      </w:pPr>
      <w:r w:rsidDel="00000000" w:rsidR="00000000" w:rsidRPr="00000000">
        <w:br w:type="page"/>
      </w:r>
      <w:r w:rsidDel="00000000" w:rsidR="00000000" w:rsidRPr="00000000">
        <w:rPr>
          <w:rtl w:val="0"/>
        </w:rPr>
      </w:r>
    </w:p>
    <w:tbl>
      <w:tblPr>
        <w:tblStyle w:val="Table1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f434d" w:space="0" w:sz="4" w:val="single"/>
              <w:left w:color="0f434d" w:space="0" w:sz="4" w:val="single"/>
              <w:bottom w:color="0f434d" w:space="0" w:sz="4" w:val="single"/>
              <w:right w:color="0f434d" w:space="0" w:sz="4" w:val="single"/>
            </w:tcBorders>
            <w:shd w:fill="0f434d" w:val="clear"/>
            <w:tcMar>
              <w:top w:w="80.0" w:type="dxa"/>
              <w:left w:w="200.0" w:type="dxa"/>
              <w:bottom w:w="80.0" w:type="dxa"/>
              <w:right w:w="120.0" w:type="dxa"/>
            </w:tcMar>
          </w:tcPr>
          <w:p w:rsidR="00000000" w:rsidDel="00000000" w:rsidP="00000000" w:rsidRDefault="00000000" w:rsidRPr="00000000" w14:paraId="000000F4">
            <w:pPr>
              <w:rPr/>
            </w:pPr>
            <w:r w:rsidDel="00000000" w:rsidR="00000000" w:rsidRPr="00000000">
              <w:rPr>
                <w:rFonts w:ascii="Calibri" w:cs="Calibri" w:eastAsia="Calibri" w:hAnsi="Calibri"/>
                <w:b w:val="1"/>
                <w:bCs w:val="1"/>
                <w:color w:val="ffffff"/>
                <w:sz w:val="20"/>
                <w:szCs w:val="20"/>
                <w:rtl w:val="0"/>
              </w:rPr>
              <w:t xml:space="preserve">SECTION 5  —  CLINICAL PRECAUTIONS AND FAQ</w:t>
            </w:r>
            <w:r w:rsidDel="00000000" w:rsidR="00000000" w:rsidRPr="00000000">
              <w:rPr>
                <w:rtl w:val="0"/>
              </w:rPr>
            </w:r>
          </w:p>
        </w:tc>
      </w:tr>
    </w:tbl>
    <w:p w:rsidR="00000000" w:rsidDel="00000000" w:rsidP="00000000" w:rsidRDefault="00000000" w:rsidRPr="00000000" w14:paraId="000000F5">
      <w:pPr>
        <w:spacing w:after="80" w:before="0" w:lineRule="auto"/>
        <w:rPr/>
      </w:pPr>
      <w:r w:rsidDel="00000000" w:rsidR="00000000" w:rsidRPr="00000000">
        <w:rPr>
          <w:rtl w:val="0"/>
        </w:rPr>
      </w:r>
    </w:p>
    <w:p w:rsidR="00000000" w:rsidDel="00000000" w:rsidP="00000000" w:rsidRDefault="00000000" w:rsidRPr="00000000" w14:paraId="000000F6">
      <w:pPr>
        <w:pStyle w:val="Heading1"/>
        <w:spacing w:after="60" w:before="360" w:lineRule="auto"/>
        <w:rPr/>
      </w:pPr>
      <w:r w:rsidDel="00000000" w:rsidR="00000000" w:rsidRPr="00000000">
        <w:rPr>
          <w:rFonts w:ascii="Calibri" w:cs="Calibri" w:eastAsia="Calibri" w:hAnsi="Calibri"/>
          <w:b w:val="1"/>
          <w:bCs w:val="1"/>
          <w:color w:val="0f434d"/>
          <w:sz w:val="36"/>
          <w:szCs w:val="36"/>
          <w:rtl w:val="0"/>
        </w:rPr>
        <w:t xml:space="preserve">Clinical Precautions and FAQ</w:t>
      </w:r>
      <w:r w:rsidDel="00000000" w:rsidR="00000000" w:rsidRPr="00000000">
        <w:rPr>
          <w:rtl w:val="0"/>
        </w:rPr>
      </w:r>
    </w:p>
    <w:p w:rsidR="00000000" w:rsidDel="00000000" w:rsidP="00000000" w:rsidRDefault="00000000" w:rsidRPr="00000000" w14:paraId="000000F7">
      <w:pPr>
        <w:spacing w:after="120" w:before="0" w:lineRule="auto"/>
        <w:rPr/>
      </w:pPr>
      <w:r w:rsidDel="00000000" w:rsidR="00000000" w:rsidRPr="00000000">
        <w:rPr>
          <w:rFonts w:ascii="Calibri" w:cs="Calibri" w:eastAsia="Calibri" w:hAnsi="Calibri"/>
          <w:color w:val="1a1a1a"/>
          <w:sz w:val="22"/>
          <w:szCs w:val="22"/>
          <w:rtl w:val="0"/>
        </w:rPr>
        <w:t xml:space="preserve">This section covers clinical contraindications and precautions, a critical warning about product mixing, product authenticity and purity requirements, and answers to the questions most frequently raised by clinicians. These are grounded in published mechanistic evidence and clinical experience from MCI-authorized practitioners.</w:t>
      </w:r>
      <w:r w:rsidDel="00000000" w:rsidR="00000000" w:rsidRPr="00000000">
        <w:rPr>
          <w:rtl w:val="0"/>
        </w:rPr>
      </w:r>
    </w:p>
    <w:p w:rsidR="00000000" w:rsidDel="00000000" w:rsidP="00000000" w:rsidRDefault="00000000" w:rsidRPr="00000000" w14:paraId="000000F8">
      <w:pPr>
        <w:spacing w:after="80" w:before="0" w:lineRule="auto"/>
        <w:rPr/>
      </w:pPr>
      <w:r w:rsidDel="00000000" w:rsidR="00000000" w:rsidRPr="00000000">
        <w:rPr>
          <w:rtl w:val="0"/>
        </w:rPr>
      </w:r>
    </w:p>
    <w:p w:rsidR="00000000" w:rsidDel="00000000" w:rsidP="00000000" w:rsidRDefault="00000000" w:rsidRPr="00000000" w14:paraId="000000F9">
      <w:pPr>
        <w:pStyle w:val="Heading2"/>
        <w:spacing w:after="60" w:before="280" w:lineRule="auto"/>
        <w:rPr/>
      </w:pPr>
      <w:r w:rsidDel="00000000" w:rsidR="00000000" w:rsidRPr="00000000">
        <w:rPr>
          <w:rFonts w:ascii="Calibri" w:cs="Calibri" w:eastAsia="Calibri" w:hAnsi="Calibri"/>
          <w:b w:val="1"/>
          <w:bCs w:val="1"/>
          <w:color w:val="0f434d"/>
          <w:sz w:val="28"/>
          <w:szCs w:val="28"/>
          <w:rtl w:val="0"/>
        </w:rPr>
        <w:t xml:space="preserve">Contraindications and Clinical Precautions</w:t>
      </w:r>
      <w:r w:rsidDel="00000000" w:rsidR="00000000" w:rsidRPr="00000000">
        <w:rPr>
          <w:rtl w:val="0"/>
        </w:rPr>
      </w:r>
    </w:p>
    <w:p w:rsidR="00000000" w:rsidDel="00000000" w:rsidP="00000000" w:rsidRDefault="00000000" w:rsidRPr="00000000" w14:paraId="000000FA">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Active Malignancy</w:t>
      </w:r>
      <w:r w:rsidDel="00000000" w:rsidR="00000000" w:rsidRPr="00000000">
        <w:rPr>
          <w:rtl w:val="0"/>
        </w:rPr>
      </w:r>
    </w:p>
    <w:p w:rsidR="00000000" w:rsidDel="00000000" w:rsidP="00000000" w:rsidRDefault="00000000" w:rsidRPr="00000000" w14:paraId="000000FB">
      <w:pPr>
        <w:spacing w:after="120" w:before="0" w:lineRule="auto"/>
        <w:rPr/>
      </w:pPr>
      <w:r w:rsidDel="00000000" w:rsidR="00000000" w:rsidRPr="00000000">
        <w:rPr>
          <w:rFonts w:ascii="Calibri" w:cs="Calibri" w:eastAsia="Calibri" w:hAnsi="Calibri"/>
          <w:color w:val="1a1a1a"/>
          <w:sz w:val="22"/>
          <w:szCs w:val="22"/>
          <w:rtl w:val="0"/>
        </w:rPr>
        <w:t xml:space="preserve">Active malignancy is a relative contraindication. There is no published clinical trial data on Dezawa MuseCell® administration in patients with active cancer. In the absence of safety data for this population, the conservative and appropriate clinical position is to defer administration until malignancy is resolved. Clinician judgment applies in all cases.</w:t>
      </w:r>
      <w:r w:rsidDel="00000000" w:rsidR="00000000" w:rsidRPr="00000000">
        <w:rPr>
          <w:rtl w:val="0"/>
        </w:rPr>
      </w:r>
    </w:p>
    <w:p w:rsidR="00000000" w:rsidDel="00000000" w:rsidP="00000000" w:rsidRDefault="00000000" w:rsidRPr="00000000" w14:paraId="000000FC">
      <w:pPr>
        <w:spacing w:after="80" w:before="0" w:lineRule="auto"/>
        <w:rPr/>
      </w:pPr>
      <w:r w:rsidDel="00000000" w:rsidR="00000000" w:rsidRPr="00000000">
        <w:rPr>
          <w:rtl w:val="0"/>
        </w:rPr>
      </w:r>
    </w:p>
    <w:p w:rsidR="00000000" w:rsidDel="00000000" w:rsidP="00000000" w:rsidRDefault="00000000" w:rsidRPr="00000000" w14:paraId="000000FD">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History of Malignancy (Resolved)</w:t>
      </w:r>
      <w:r w:rsidDel="00000000" w:rsidR="00000000" w:rsidRPr="00000000">
        <w:rPr>
          <w:rtl w:val="0"/>
        </w:rPr>
      </w:r>
    </w:p>
    <w:p w:rsidR="00000000" w:rsidDel="00000000" w:rsidP="00000000" w:rsidRDefault="00000000" w:rsidRPr="00000000" w14:paraId="000000FE">
      <w:pPr>
        <w:spacing w:after="120" w:before="0" w:lineRule="auto"/>
        <w:rPr/>
      </w:pPr>
      <w:r w:rsidDel="00000000" w:rsidR="00000000" w:rsidRPr="00000000">
        <w:rPr>
          <w:rFonts w:ascii="Calibri" w:cs="Calibri" w:eastAsia="Calibri" w:hAnsi="Calibri"/>
          <w:color w:val="1a1a1a"/>
          <w:sz w:val="22"/>
          <w:szCs w:val="22"/>
          <w:rtl w:val="0"/>
        </w:rPr>
        <w:t xml:space="preserve">A past history of malignancy that is considered clinically resolved is not a contraindication. No adverse oncological events have been documented in published clinical trials, including in patients with prior cancer history. The biological basis for non-tumorigenicity described in Section 1 (Let-7/Lin28 axis, low telomerase, ATM-mediated DNA repair regulation) is active and operates independently of any patient cancer history.</w:t>
      </w:r>
      <w:r w:rsidDel="00000000" w:rsidR="00000000" w:rsidRPr="00000000">
        <w:rPr>
          <w:rtl w:val="0"/>
        </w:rPr>
      </w:r>
    </w:p>
    <w:p w:rsidR="00000000" w:rsidDel="00000000" w:rsidP="00000000" w:rsidRDefault="00000000" w:rsidRPr="00000000" w14:paraId="000000FF">
      <w:pPr>
        <w:spacing w:after="120" w:before="0" w:lineRule="auto"/>
        <w:rPr/>
      </w:pPr>
      <w:r w:rsidDel="00000000" w:rsidR="00000000" w:rsidRPr="00000000">
        <w:rPr>
          <w:rFonts w:ascii="Calibri" w:cs="Calibri" w:eastAsia="Calibri" w:hAnsi="Calibri"/>
          <w:color w:val="1a1a1a"/>
          <w:sz w:val="22"/>
          <w:szCs w:val="22"/>
          <w:rtl w:val="0"/>
        </w:rPr>
        <w:t xml:space="preserve">This remains a patient-provider discussion. The clinician should review the patient’s oncological history, current status, and any relevant monitoring before proceeding. Emerging pre-clinical research suggests potential immune-reconstitution and anti-tumor immune effects, though this has not been formally studied in a clinical trial.</w:t>
      </w:r>
      <w:r w:rsidDel="00000000" w:rsidR="00000000" w:rsidRPr="00000000">
        <w:rPr>
          <w:rtl w:val="0"/>
        </w:rPr>
      </w:r>
    </w:p>
    <w:p w:rsidR="00000000" w:rsidDel="00000000" w:rsidP="00000000" w:rsidRDefault="00000000" w:rsidRPr="00000000" w14:paraId="00000100">
      <w:pPr>
        <w:spacing w:after="80" w:before="0" w:lineRule="auto"/>
        <w:rPr/>
      </w:pPr>
      <w:r w:rsidDel="00000000" w:rsidR="00000000" w:rsidRPr="00000000">
        <w:rPr>
          <w:rtl w:val="0"/>
        </w:rPr>
      </w:r>
    </w:p>
    <w:p w:rsidR="00000000" w:rsidDel="00000000" w:rsidP="00000000" w:rsidRDefault="00000000" w:rsidRPr="00000000" w14:paraId="00000101">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Active Autoimmune Disease or High Inflammatory Burden</w:t>
      </w:r>
      <w:r w:rsidDel="00000000" w:rsidR="00000000" w:rsidRPr="00000000">
        <w:rPr>
          <w:rtl w:val="0"/>
        </w:rPr>
      </w:r>
    </w:p>
    <w:p w:rsidR="00000000" w:rsidDel="00000000" w:rsidP="00000000" w:rsidRDefault="00000000" w:rsidRPr="00000000" w14:paraId="00000102">
      <w:pPr>
        <w:spacing w:after="120" w:before="0" w:lineRule="auto"/>
        <w:rPr/>
      </w:pPr>
      <w:r w:rsidDel="00000000" w:rsidR="00000000" w:rsidRPr="00000000">
        <w:rPr>
          <w:rFonts w:ascii="Calibri" w:cs="Calibri" w:eastAsia="Calibri" w:hAnsi="Calibri"/>
          <w:color w:val="1a1a1a"/>
          <w:sz w:val="22"/>
          <w:szCs w:val="22"/>
          <w:rtl w:val="0"/>
        </w:rPr>
        <w:t xml:space="preserve">Patients with active autoimmune disease or high systemic inflammatory load may experience a transient inflammatory flare following Dezawa MuseCell® administration. This is not inherently harmful — it likely reflects the immune system’s response to the cellular microenvironment — and clinical experience indicates these patients generally report favorable longer-term outcomes.</w:t>
      </w:r>
      <w:r w:rsidDel="00000000" w:rsidR="00000000" w:rsidRPr="00000000">
        <w:rPr>
          <w:rtl w:val="0"/>
        </w:rPr>
      </w:r>
    </w:p>
    <w:p w:rsidR="00000000" w:rsidDel="00000000" w:rsidP="00000000" w:rsidRDefault="00000000" w:rsidRPr="00000000" w14:paraId="00000103">
      <w:pPr>
        <w:spacing w:after="120" w:before="0" w:lineRule="auto"/>
        <w:rPr/>
      </w:pPr>
      <w:r w:rsidDel="00000000" w:rsidR="00000000" w:rsidRPr="00000000">
        <w:rPr>
          <w:rFonts w:ascii="Calibri" w:cs="Calibri" w:eastAsia="Calibri" w:hAnsi="Calibri"/>
          <w:color w:val="1a1a1a"/>
          <w:sz w:val="22"/>
          <w:szCs w:val="22"/>
          <w:rtl w:val="0"/>
        </w:rPr>
        <w:t xml:space="preserve">Clinical options for managing this population:</w:t>
      </w:r>
      <w:r w:rsidDel="00000000" w:rsidR="00000000" w:rsidRPr="00000000">
        <w:rPr>
          <w:rtl w:val="0"/>
        </w:rPr>
      </w:r>
    </w:p>
    <w:p w:rsidR="00000000" w:rsidDel="00000000" w:rsidP="00000000" w:rsidRDefault="00000000" w:rsidRPr="00000000" w14:paraId="000001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Secretome/exosome pre-treatment: Administer MuseSecretomes™ or MuseExosomes® in the weeks prior to cell administration to reduce the inflammatory baseline. This reduces flare risk and may improve cellular engraftment.</w:t>
      </w:r>
      <w:r w:rsidDel="00000000" w:rsidR="00000000" w:rsidRPr="00000000">
        <w:rPr>
          <w:rtl w:val="0"/>
        </w:rPr>
      </w:r>
    </w:p>
    <w:p w:rsidR="00000000" w:rsidDel="00000000" w:rsidP="00000000" w:rsidRDefault="00000000" w:rsidRPr="00000000" w14:paraId="000001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Address upstream drivers: Evaluate for gut dysbiosis, unresolved subclinical infection, or other identifiable contributors to inflammatory burden. Reducing these before cell administration improves the cellular microenvironment.</w:t>
      </w:r>
      <w:r w:rsidDel="00000000" w:rsidR="00000000" w:rsidRPr="00000000">
        <w:rPr>
          <w:rtl w:val="0"/>
        </w:rPr>
      </w:r>
    </w:p>
    <w:p w:rsidR="00000000" w:rsidDel="00000000" w:rsidP="00000000" w:rsidRDefault="00000000" w:rsidRPr="00000000" w14:paraId="000001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Informed consent and monitoring: Proceed with full informed consent regarding the possibility of a transient flare, and with close monitoring in the post-administration period.</w:t>
      </w:r>
      <w:r w:rsidDel="00000000" w:rsidR="00000000" w:rsidRPr="00000000">
        <w:rPr>
          <w:rtl w:val="0"/>
        </w:rPr>
      </w:r>
    </w:p>
    <w:p w:rsidR="00000000" w:rsidDel="00000000" w:rsidP="00000000" w:rsidRDefault="00000000" w:rsidRPr="00000000" w14:paraId="00000107">
      <w:pPr>
        <w:spacing w:after="80" w:before="0" w:lineRule="auto"/>
        <w:rPr/>
      </w:pPr>
      <w:r w:rsidDel="00000000" w:rsidR="00000000" w:rsidRPr="00000000">
        <w:rPr>
          <w:rtl w:val="0"/>
        </w:rPr>
      </w:r>
    </w:p>
    <w:p w:rsidR="00000000" w:rsidDel="00000000" w:rsidP="00000000" w:rsidRDefault="00000000" w:rsidRPr="00000000" w14:paraId="00000108">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Organ Transplantation</w:t>
      </w:r>
      <w:r w:rsidDel="00000000" w:rsidR="00000000" w:rsidRPr="00000000">
        <w:rPr>
          <w:rtl w:val="0"/>
        </w:rPr>
      </w:r>
    </w:p>
    <w:p w:rsidR="00000000" w:rsidDel="00000000" w:rsidP="00000000" w:rsidRDefault="00000000" w:rsidRPr="00000000" w14:paraId="00000109">
      <w:pPr>
        <w:spacing w:after="120" w:before="0" w:lineRule="auto"/>
        <w:rPr/>
      </w:pPr>
      <w:r w:rsidDel="00000000" w:rsidR="00000000" w:rsidRPr="00000000">
        <w:rPr>
          <w:rFonts w:ascii="Calibri" w:cs="Calibri" w:eastAsia="Calibri" w:hAnsi="Calibri"/>
          <w:color w:val="1a1a1a"/>
          <w:sz w:val="22"/>
          <w:szCs w:val="22"/>
          <w:rtl w:val="0"/>
        </w:rPr>
        <w:t xml:space="preserve">Patients with organ transplants present a complex consideration. Dezawa MuseCells® are immune-privileged and do not require immunosuppression — but the patient is likely already on immunosuppressive therapy for graft maintenance. The interaction between Muse immune privilege mechanisms (HLA-G, IDO, TGF-β) and transplant immunosuppression has not been formally studied. Administration should involve discussion with the transplant team and careful informed consent.</w:t>
      </w:r>
      <w:r w:rsidDel="00000000" w:rsidR="00000000" w:rsidRPr="00000000">
        <w:rPr>
          <w:rtl w:val="0"/>
        </w:rPr>
      </w:r>
    </w:p>
    <w:p w:rsidR="00000000" w:rsidDel="00000000" w:rsidP="00000000" w:rsidRDefault="00000000" w:rsidRPr="00000000" w14:paraId="0000010A">
      <w:pPr>
        <w:spacing w:after="80" w:before="0" w:lineRule="auto"/>
        <w:rPr/>
      </w:pPr>
      <w:r w:rsidDel="00000000" w:rsidR="00000000" w:rsidRPr="00000000">
        <w:rPr>
          <w:rtl w:val="0"/>
        </w:rPr>
      </w:r>
    </w:p>
    <w:p w:rsidR="00000000" w:rsidDel="00000000" w:rsidP="00000000" w:rsidRDefault="00000000" w:rsidRPr="00000000" w14:paraId="0000010B">
      <w:pPr>
        <w:pStyle w:val="Heading2"/>
        <w:spacing w:after="60" w:before="280" w:lineRule="auto"/>
        <w:rPr/>
      </w:pPr>
      <w:r w:rsidDel="00000000" w:rsidR="00000000" w:rsidRPr="00000000">
        <w:rPr>
          <w:rFonts w:ascii="Calibri" w:cs="Calibri" w:eastAsia="Calibri" w:hAnsi="Calibri"/>
          <w:b w:val="1"/>
          <w:bCs w:val="1"/>
          <w:color w:val="0f434d"/>
          <w:sz w:val="28"/>
          <w:szCs w:val="28"/>
          <w:rtl w:val="0"/>
        </w:rPr>
        <w:t xml:space="preserve">Critical Clinical Warning: Do Not Co-Administer with Conventional MSCs</w:t>
      </w:r>
      <w:r w:rsidDel="00000000" w:rsidR="00000000" w:rsidRPr="00000000">
        <w:rPr>
          <w:rtl w:val="0"/>
        </w:rPr>
      </w:r>
    </w:p>
    <w:tbl>
      <w:tblPr>
        <w:tblStyle w:val="Table1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d7b172" w:space="0" w:sz="4" w:val="single"/>
              <w:left w:color="d7b172" w:space="0" w:sz="6" w:val="single"/>
              <w:bottom w:color="d7b172" w:space="0" w:sz="4" w:val="single"/>
              <w:right w:color="d7b172" w:space="0" w:sz="4" w:val="single"/>
            </w:tcBorders>
            <w:shd w:fill="fdf6e8" w:val="clear"/>
            <w:tcMar>
              <w:top w:w="120.0" w:type="dxa"/>
              <w:left w:w="200.0" w:type="dxa"/>
              <w:bottom w:w="120.0" w:type="dxa"/>
              <w:right w:w="120.0" w:type="dxa"/>
            </w:tcMar>
          </w:tcPr>
          <w:p w:rsidR="00000000" w:rsidDel="00000000" w:rsidP="00000000" w:rsidRDefault="00000000" w:rsidRPr="00000000" w14:paraId="0000010C">
            <w:pPr>
              <w:rPr/>
            </w:pPr>
            <w:r w:rsidDel="00000000" w:rsidR="00000000" w:rsidRPr="00000000">
              <w:rPr>
                <w:rFonts w:ascii="Calibri" w:cs="Calibri" w:eastAsia="Calibri" w:hAnsi="Calibri"/>
                <w:i w:val="1"/>
                <w:iCs w:val="1"/>
                <w:color w:val="7a5c1e"/>
                <w:sz w:val="22"/>
                <w:szCs w:val="22"/>
                <w:rtl w:val="0"/>
              </w:rPr>
              <w:t xml:space="preserve">Warning: Combining Dezawa MuseCells® with conventional MSC products — in the same administration or closely timed administrations — will likely eliminate the homing mechanism and significantly reduce therapeutic efficacy. This is not empirical speculation; it follows directly from the molecular biology of the S1P homing axis.</w:t>
            </w:r>
            <w:r w:rsidDel="00000000" w:rsidR="00000000" w:rsidRPr="00000000">
              <w:rPr>
                <w:rtl w:val="0"/>
              </w:rPr>
            </w:r>
          </w:p>
        </w:tc>
      </w:tr>
    </w:tbl>
    <w:p w:rsidR="00000000" w:rsidDel="00000000" w:rsidP="00000000" w:rsidRDefault="00000000" w:rsidRPr="00000000" w14:paraId="0000010D">
      <w:pPr>
        <w:spacing w:after="80" w:before="0" w:lineRule="auto"/>
        <w:rPr/>
      </w:pPr>
      <w:r w:rsidDel="00000000" w:rsidR="00000000" w:rsidRPr="00000000">
        <w:rPr>
          <w:rtl w:val="0"/>
        </w:rPr>
      </w:r>
    </w:p>
    <w:p w:rsidR="00000000" w:rsidDel="00000000" w:rsidP="00000000" w:rsidRDefault="00000000" w:rsidRPr="00000000" w14:paraId="0000010E">
      <w:pPr>
        <w:spacing w:after="120" w:before="0" w:lineRule="auto"/>
        <w:rPr/>
      </w:pPr>
      <w:r w:rsidDel="00000000" w:rsidR="00000000" w:rsidRPr="00000000">
        <w:rPr>
          <w:rFonts w:ascii="Calibri" w:cs="Calibri" w:eastAsia="Calibri" w:hAnsi="Calibri"/>
          <w:color w:val="1a1a1a"/>
          <w:sz w:val="22"/>
          <w:szCs w:val="22"/>
          <w:rtl w:val="0"/>
        </w:rPr>
        <w:t xml:space="preserve">The mechanism: Dezawa MuseCells® home to damaged tissue by following sphingosine-1-phosphate (S1P), a distress signal produced by injured cells. Conventional MSCs achieve their primary therapeutic effect through anti-inflammatory paracrine signaling — specifically, suppressing the inflammatory environment.</w:t>
      </w:r>
      <w:r w:rsidDel="00000000" w:rsidR="00000000" w:rsidRPr="00000000">
        <w:rPr>
          <w:rtl w:val="0"/>
        </w:rPr>
      </w:r>
    </w:p>
    <w:p w:rsidR="00000000" w:rsidDel="00000000" w:rsidP="00000000" w:rsidRDefault="00000000" w:rsidRPr="00000000" w14:paraId="0000010F">
      <w:pPr>
        <w:spacing w:after="120" w:before="0" w:lineRule="auto"/>
        <w:rPr/>
      </w:pPr>
      <w:r w:rsidDel="00000000" w:rsidR="00000000" w:rsidRPr="00000000">
        <w:rPr>
          <w:rFonts w:ascii="Calibri" w:cs="Calibri" w:eastAsia="Calibri" w:hAnsi="Calibri"/>
          <w:color w:val="1a1a1a"/>
          <w:sz w:val="22"/>
          <w:szCs w:val="22"/>
          <w:rtl w:val="0"/>
        </w:rPr>
        <w:t xml:space="preserve">When conventional MSCs suppress the inflammatory environment, they suppress the S1P signal. From the Muse cell’s perspective, the homing gradient disappears. Cells that cannot detect the S1P signal cannot navigate to the target tissue. They circulate without productive engraftment and are eventually cleared.</w:t>
      </w:r>
      <w:r w:rsidDel="00000000" w:rsidR="00000000" w:rsidRPr="00000000">
        <w:rPr>
          <w:rtl w:val="0"/>
        </w:rPr>
      </w:r>
    </w:p>
    <w:p w:rsidR="00000000" w:rsidDel="00000000" w:rsidP="00000000" w:rsidRDefault="00000000" w:rsidRPr="00000000" w14:paraId="00000110">
      <w:pPr>
        <w:spacing w:after="120" w:before="0" w:lineRule="auto"/>
        <w:rPr/>
      </w:pPr>
      <w:r w:rsidDel="00000000" w:rsidR="00000000" w:rsidRPr="00000000">
        <w:rPr>
          <w:rFonts w:ascii="Calibri" w:cs="Calibri" w:eastAsia="Calibri" w:hAnsi="Calibri"/>
          <w:color w:val="1a1a1a"/>
          <w:sz w:val="22"/>
          <w:szCs w:val="22"/>
          <w:rtl w:val="0"/>
        </w:rPr>
        <w:t xml:space="preserve">In practical terms: if a patient has recently received conventional MSC therapy, or if a practitioner is considering combining products, the two cell types should be administered in separate, well-spaced treatment cycles — not co-administered. Adequate time should be allowed for the conventional MSC anti-inflammatory effect to resolve before introducing Dezawa MuseCells®.</w:t>
      </w:r>
      <w:r w:rsidDel="00000000" w:rsidR="00000000" w:rsidRPr="00000000">
        <w:rPr>
          <w:rtl w:val="0"/>
        </w:rPr>
      </w:r>
    </w:p>
    <w:p w:rsidR="00000000" w:rsidDel="00000000" w:rsidP="00000000" w:rsidRDefault="00000000" w:rsidRPr="00000000" w14:paraId="00000111">
      <w:pPr>
        <w:spacing w:after="80" w:before="0" w:lineRule="auto"/>
        <w:rPr/>
      </w:pPr>
      <w:r w:rsidDel="00000000" w:rsidR="00000000" w:rsidRPr="00000000">
        <w:rPr>
          <w:rtl w:val="0"/>
        </w:rPr>
      </w:r>
    </w:p>
    <w:p w:rsidR="00000000" w:rsidDel="00000000" w:rsidP="00000000" w:rsidRDefault="00000000" w:rsidRPr="00000000" w14:paraId="00000112">
      <w:pPr>
        <w:pStyle w:val="Heading2"/>
        <w:spacing w:after="60" w:before="280" w:lineRule="auto"/>
        <w:rPr/>
      </w:pPr>
      <w:r w:rsidDel="00000000" w:rsidR="00000000" w:rsidRPr="00000000">
        <w:rPr>
          <w:rFonts w:ascii="Calibri" w:cs="Calibri" w:eastAsia="Calibri" w:hAnsi="Calibri"/>
          <w:b w:val="1"/>
          <w:bCs w:val="1"/>
          <w:color w:val="0f434d"/>
          <w:sz w:val="28"/>
          <w:szCs w:val="28"/>
          <w:rtl w:val="0"/>
        </w:rPr>
        <w:t xml:space="preserve">Product Purity and Authenticity</w:t>
      </w:r>
      <w:r w:rsidDel="00000000" w:rsidR="00000000" w:rsidRPr="00000000">
        <w:rPr>
          <w:rtl w:val="0"/>
        </w:rPr>
      </w:r>
    </w:p>
    <w:p w:rsidR="00000000" w:rsidDel="00000000" w:rsidP="00000000" w:rsidRDefault="00000000" w:rsidRPr="00000000" w14:paraId="00000113">
      <w:pPr>
        <w:spacing w:after="120" w:before="0" w:lineRule="auto"/>
        <w:rPr/>
      </w:pPr>
      <w:r w:rsidDel="00000000" w:rsidR="00000000" w:rsidRPr="00000000">
        <w:rPr>
          <w:rFonts w:ascii="Calibri" w:cs="Calibri" w:eastAsia="Calibri" w:hAnsi="Calibri"/>
          <w:color w:val="1a1a1a"/>
          <w:sz w:val="22"/>
          <w:szCs w:val="22"/>
          <w:rtl w:val="0"/>
        </w:rPr>
        <w:t xml:space="preserve">The clinical properties described in this document — pluripotency, homing, immune privilege — are properties of genuine Dezawa MuseCells®, defined as cells meeting the ≥70% SSEA-3+ purity threshold.</w:t>
      </w:r>
      <w:r w:rsidDel="00000000" w:rsidR="00000000" w:rsidRPr="00000000">
        <w:rPr>
          <w:rtl w:val="0"/>
        </w:rPr>
      </w:r>
    </w:p>
    <w:p w:rsidR="00000000" w:rsidDel="00000000" w:rsidP="00000000" w:rsidRDefault="00000000" w:rsidRPr="00000000" w14:paraId="00000114">
      <w:pPr>
        <w:spacing w:after="120" w:before="0" w:lineRule="auto"/>
        <w:rPr/>
      </w:pPr>
      <w:r w:rsidDel="00000000" w:rsidR="00000000" w:rsidRPr="00000000">
        <w:rPr>
          <w:rFonts w:ascii="Calibri" w:cs="Calibri" w:eastAsia="Calibri" w:hAnsi="Calibri"/>
          <w:color w:val="1a1a1a"/>
          <w:sz w:val="22"/>
          <w:szCs w:val="22"/>
          <w:rtl w:val="0"/>
        </w:rPr>
        <w:t xml:space="preserve">Preparations below this threshold — even if derived from umbilical cord or other mesenchymal tissue, and even if marketed as Muse cells — behave as conventional MSC preparations. They will not demonstrate reliable homing, pluripotent differentiation, or immune privilege as described in this document. The clinical outcome profile for such preparations is the conventional MSC profile, not the Dezawa MuseCell® profile.</w:t>
      </w:r>
      <w:r w:rsidDel="00000000" w:rsidR="00000000" w:rsidRPr="00000000">
        <w:rPr>
          <w:rtl w:val="0"/>
        </w:rPr>
      </w:r>
    </w:p>
    <w:p w:rsidR="00000000" w:rsidDel="00000000" w:rsidP="00000000" w:rsidRDefault="00000000" w:rsidRPr="00000000" w14:paraId="00000115">
      <w:pPr>
        <w:spacing w:after="120" w:before="0" w:lineRule="auto"/>
        <w:rPr/>
      </w:pPr>
      <w:r w:rsidDel="00000000" w:rsidR="00000000" w:rsidRPr="00000000">
        <w:rPr>
          <w:rFonts w:ascii="Calibri" w:cs="Calibri" w:eastAsia="Calibri" w:hAnsi="Calibri"/>
          <w:color w:val="1a1a1a"/>
          <w:sz w:val="22"/>
          <w:szCs w:val="22"/>
          <w:rtl w:val="0"/>
        </w:rPr>
        <w:t xml:space="preserve">To verify product authenticity and purity:</w:t>
      </w:r>
      <w:r w:rsidDel="00000000" w:rsidR="00000000" w:rsidRPr="00000000">
        <w:rPr>
          <w:rtl w:val="0"/>
        </w:rPr>
      </w:r>
    </w:p>
    <w:p w:rsidR="00000000" w:rsidDel="00000000" w:rsidP="00000000" w:rsidRDefault="00000000" w:rsidRPr="00000000" w14:paraId="000001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Source exclusively through MCI-authorized supply partners</w:t>
      </w:r>
      <w:r w:rsidDel="00000000" w:rsidR="00000000" w:rsidRPr="00000000">
        <w:rPr>
          <w:rtl w:val="0"/>
        </w:rPr>
      </w:r>
    </w:p>
    <w:p w:rsidR="00000000" w:rsidDel="00000000" w:rsidP="00000000" w:rsidRDefault="00000000" w:rsidRPr="00000000" w14:paraId="000001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Require lot-level documentation confirming ≥70% SSEA-3+ purity and 80–90%+ cell viability on the certificate of analysis (CoA)</w:t>
      </w:r>
      <w:r w:rsidDel="00000000" w:rsidR="00000000" w:rsidRPr="00000000">
        <w:rPr>
          <w:rtl w:val="0"/>
        </w:rPr>
      </w:r>
    </w:p>
    <w:p w:rsidR="00000000" w:rsidDel="00000000" w:rsidP="00000000" w:rsidRDefault="00000000" w:rsidRPr="00000000" w14:paraId="000001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Confirm SSEA-3 antibody lot used in manufacturing: BioLegend catalog #330302 or Thermo Fisher MA1-020 — lot-to-lot consistency in the isolation antibody directly affects purity</w:t>
      </w:r>
      <w:r w:rsidDel="00000000" w:rsidR="00000000" w:rsidRPr="00000000">
        <w:rPr>
          <w:rtl w:val="0"/>
        </w:rPr>
      </w:r>
    </w:p>
    <w:p w:rsidR="00000000" w:rsidDel="00000000" w:rsidP="00000000" w:rsidRDefault="00000000" w:rsidRPr="00000000" w14:paraId="000001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1a1a1a"/>
          <w:sz w:val="22"/>
          <w:szCs w:val="22"/>
          <w:u w:val="none"/>
          <w:shd w:fill="auto" w:val="clear"/>
          <w:vertAlign w:val="baseline"/>
          <w:rtl w:val="0"/>
        </w:rPr>
        <w:t xml:space="preserve">Do not accept products that cannot provide full documentation of SSEA-3 purity at lot level</w:t>
      </w:r>
      <w:r w:rsidDel="00000000" w:rsidR="00000000" w:rsidRPr="00000000">
        <w:rPr>
          <w:rtl w:val="0"/>
        </w:rPr>
      </w:r>
    </w:p>
    <w:p w:rsidR="00000000" w:rsidDel="00000000" w:rsidP="00000000" w:rsidRDefault="00000000" w:rsidRPr="00000000" w14:paraId="0000011A">
      <w:pPr>
        <w:spacing w:after="80" w:before="0" w:lineRule="auto"/>
        <w:rPr/>
      </w:pPr>
      <w:r w:rsidDel="00000000" w:rsidR="00000000" w:rsidRPr="00000000">
        <w:rPr>
          <w:rtl w:val="0"/>
        </w:rPr>
      </w:r>
    </w:p>
    <w:p w:rsidR="00000000" w:rsidDel="00000000" w:rsidP="00000000" w:rsidRDefault="00000000" w:rsidRPr="00000000" w14:paraId="0000011B">
      <w:pPr>
        <w:pStyle w:val="Heading2"/>
        <w:spacing w:after="60" w:before="280" w:lineRule="auto"/>
        <w:rPr/>
      </w:pPr>
      <w:r w:rsidDel="00000000" w:rsidR="00000000" w:rsidRPr="00000000">
        <w:rPr>
          <w:rFonts w:ascii="Calibri" w:cs="Calibri" w:eastAsia="Calibri" w:hAnsi="Calibri"/>
          <w:b w:val="1"/>
          <w:bCs w:val="1"/>
          <w:color w:val="0f434d"/>
          <w:sz w:val="28"/>
          <w:szCs w:val="28"/>
          <w:rtl w:val="0"/>
        </w:rPr>
        <w:t xml:space="preserve">Clinical FAQ</w:t>
      </w:r>
      <w:r w:rsidDel="00000000" w:rsidR="00000000" w:rsidRPr="00000000">
        <w:rPr>
          <w:rtl w:val="0"/>
        </w:rPr>
      </w:r>
    </w:p>
    <w:p w:rsidR="00000000" w:rsidDel="00000000" w:rsidP="00000000" w:rsidRDefault="00000000" w:rsidRPr="00000000" w14:paraId="0000011C">
      <w:pPr>
        <w:spacing w:after="40" w:before="0" w:lineRule="auto"/>
        <w:rPr/>
      </w:pPr>
      <w:r w:rsidDel="00000000" w:rsidR="00000000" w:rsidRPr="00000000">
        <w:rPr>
          <w:rtl w:val="0"/>
        </w:rPr>
      </w:r>
    </w:p>
    <w:p w:rsidR="00000000" w:rsidDel="00000000" w:rsidP="00000000" w:rsidRDefault="00000000" w:rsidRPr="00000000" w14:paraId="0000011D">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Q: How do Dezawa MuseCells® compare to adipose-derived stem cells?</w:t>
      </w:r>
      <w:r w:rsidDel="00000000" w:rsidR="00000000" w:rsidRPr="00000000">
        <w:rPr>
          <w:rtl w:val="0"/>
        </w:rPr>
      </w:r>
    </w:p>
    <w:p w:rsidR="00000000" w:rsidDel="00000000" w:rsidP="00000000" w:rsidRDefault="00000000" w:rsidRPr="00000000" w14:paraId="0000011E">
      <w:pPr>
        <w:spacing w:after="120" w:before="0" w:lineRule="auto"/>
        <w:rPr/>
      </w:pPr>
      <w:r w:rsidDel="00000000" w:rsidR="00000000" w:rsidRPr="00000000">
        <w:rPr>
          <w:rFonts w:ascii="Calibri" w:cs="Calibri" w:eastAsia="Calibri" w:hAnsi="Calibri"/>
          <w:color w:val="1a1a1a"/>
          <w:sz w:val="22"/>
          <w:szCs w:val="22"/>
          <w:rtl w:val="0"/>
        </w:rPr>
        <w:t xml:space="preserve">Adipose-derived stem cells (ADSCs) are multipotent — limited primarily to mesenchymal lineages — and act primarily through paracrine signaling rather than engraftment and differentiation. The dominant clinical effect is anti-inflammatory and temporary, analogous to the MSC ‘mobile pharmacy’ model described in the Orientation section.</w:t>
      </w:r>
      <w:r w:rsidDel="00000000" w:rsidR="00000000" w:rsidRPr="00000000">
        <w:rPr>
          <w:rtl w:val="0"/>
        </w:rPr>
      </w:r>
    </w:p>
    <w:p w:rsidR="00000000" w:rsidDel="00000000" w:rsidP="00000000" w:rsidRDefault="00000000" w:rsidRPr="00000000" w14:paraId="0000011F">
      <w:pPr>
        <w:spacing w:after="120" w:before="0" w:lineRule="auto"/>
        <w:rPr/>
      </w:pPr>
      <w:r w:rsidDel="00000000" w:rsidR="00000000" w:rsidRPr="00000000">
        <w:rPr>
          <w:rFonts w:ascii="Calibri" w:cs="Calibri" w:eastAsia="Calibri" w:hAnsi="Calibri"/>
          <w:color w:val="1a1a1a"/>
          <w:sz w:val="22"/>
          <w:szCs w:val="22"/>
          <w:rtl w:val="0"/>
        </w:rPr>
        <w:t xml:space="preserve">Additionally, stem cell yield and potency in adipose tissue decline substantially with age — research documents a marked decrease in stem cell count and quality after approximately age 40. Dezawa MuseCells® are derived from young, standardized donor umbilical cord tissue, are genuinely pluripotent, and are not subject to donor-age-related quality variability.</w:t>
      </w:r>
      <w:r w:rsidDel="00000000" w:rsidR="00000000" w:rsidRPr="00000000">
        <w:rPr>
          <w:rtl w:val="0"/>
        </w:rPr>
      </w:r>
    </w:p>
    <w:p w:rsidR="00000000" w:rsidDel="00000000" w:rsidP="00000000" w:rsidRDefault="00000000" w:rsidRPr="00000000" w14:paraId="00000120">
      <w:pPr>
        <w:spacing w:after="80" w:before="0" w:lineRule="auto"/>
        <w:rPr/>
      </w:pPr>
      <w:r w:rsidDel="00000000" w:rsidR="00000000" w:rsidRPr="00000000">
        <w:rPr>
          <w:rtl w:val="0"/>
        </w:rPr>
      </w:r>
    </w:p>
    <w:p w:rsidR="00000000" w:rsidDel="00000000" w:rsidP="00000000" w:rsidRDefault="00000000" w:rsidRPr="00000000" w14:paraId="00000121">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Q: What dose should I use?</w:t>
      </w:r>
      <w:r w:rsidDel="00000000" w:rsidR="00000000" w:rsidRPr="00000000">
        <w:rPr>
          <w:rtl w:val="0"/>
        </w:rPr>
      </w:r>
    </w:p>
    <w:p w:rsidR="00000000" w:rsidDel="00000000" w:rsidP="00000000" w:rsidRDefault="00000000" w:rsidRPr="00000000" w14:paraId="00000122">
      <w:pPr>
        <w:spacing w:after="120" w:before="0" w:lineRule="auto"/>
        <w:rPr/>
      </w:pPr>
      <w:r w:rsidDel="00000000" w:rsidR="00000000" w:rsidRPr="00000000">
        <w:rPr>
          <w:rFonts w:ascii="Calibri" w:cs="Calibri" w:eastAsia="Calibri" w:hAnsi="Calibri"/>
          <w:color w:val="1a1a1a"/>
          <w:sz w:val="22"/>
          <w:szCs w:val="22"/>
          <w:rtl w:val="0"/>
        </w:rPr>
        <w:t xml:space="preserve">The anchor is the Japanese Phase II trials at 15 million cells IV. For western populations, 20 million cells IV is the standard starting dose. Local orthopedic injection is typically 10 million cells. The studied dose range extends to 100 million cells. No Phase III dosing comparison trial has been completed. Dose selection within the studied range is clinician discretion — document your rationale.</w:t>
      </w:r>
      <w:r w:rsidDel="00000000" w:rsidR="00000000" w:rsidRPr="00000000">
        <w:rPr>
          <w:rtl w:val="0"/>
        </w:rPr>
      </w:r>
    </w:p>
    <w:p w:rsidR="00000000" w:rsidDel="00000000" w:rsidP="00000000" w:rsidRDefault="00000000" w:rsidRPr="00000000" w14:paraId="00000123">
      <w:pPr>
        <w:spacing w:after="80" w:before="0" w:lineRule="auto"/>
        <w:rPr/>
      </w:pPr>
      <w:r w:rsidDel="00000000" w:rsidR="00000000" w:rsidRPr="00000000">
        <w:rPr>
          <w:rtl w:val="0"/>
        </w:rPr>
      </w:r>
    </w:p>
    <w:p w:rsidR="00000000" w:rsidDel="00000000" w:rsidP="00000000" w:rsidRDefault="00000000" w:rsidRPr="00000000" w14:paraId="00000124">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Q: When should I use IV vs. local injection?</w:t>
      </w:r>
      <w:r w:rsidDel="00000000" w:rsidR="00000000" w:rsidRPr="00000000">
        <w:rPr>
          <w:rtl w:val="0"/>
        </w:rPr>
      </w:r>
    </w:p>
    <w:p w:rsidR="00000000" w:rsidDel="00000000" w:rsidP="00000000" w:rsidRDefault="00000000" w:rsidRPr="00000000" w14:paraId="00000125">
      <w:pPr>
        <w:spacing w:after="120" w:before="0" w:lineRule="auto"/>
        <w:rPr/>
      </w:pPr>
      <w:r w:rsidDel="00000000" w:rsidR="00000000" w:rsidRPr="00000000">
        <w:rPr>
          <w:rFonts w:ascii="Calibri" w:cs="Calibri" w:eastAsia="Calibri" w:hAnsi="Calibri"/>
          <w:color w:val="1a1a1a"/>
          <w:sz w:val="22"/>
          <w:szCs w:val="22"/>
          <w:rtl w:val="0"/>
        </w:rPr>
        <w:t xml:space="preserve">IV is supported by the broadest published clinical trial evidence and works via the systemic homing mechanism. It is preferred for neurological, cardiac, immunological, and systemic indications, and any condition without a single accessible anatomical target.</w:t>
      </w:r>
      <w:r w:rsidDel="00000000" w:rsidR="00000000" w:rsidRPr="00000000">
        <w:rPr>
          <w:rtl w:val="0"/>
        </w:rPr>
      </w:r>
    </w:p>
    <w:p w:rsidR="00000000" w:rsidDel="00000000" w:rsidP="00000000" w:rsidRDefault="00000000" w:rsidRPr="00000000" w14:paraId="00000126">
      <w:pPr>
        <w:spacing w:after="120" w:before="0" w:lineRule="auto"/>
        <w:rPr/>
      </w:pPr>
      <w:r w:rsidDel="00000000" w:rsidR="00000000" w:rsidRPr="00000000">
        <w:rPr>
          <w:rFonts w:ascii="Calibri" w:cs="Calibri" w:eastAsia="Calibri" w:hAnsi="Calibri"/>
          <w:color w:val="1a1a1a"/>
          <w:sz w:val="22"/>
          <w:szCs w:val="22"/>
          <w:rtl w:val="0"/>
        </w:rPr>
        <w:t xml:space="preserve">Local injection is preferred when the primary treatment target is a specific, accessible orthopedic or musculoskeletal site. Clinical experience indicates stronger and more reliable local effect at the target site. Note that local injection also produces some systemic effect — consistent with the paracrine and immune properties of Muse cells.</w:t>
      </w:r>
      <w:r w:rsidDel="00000000" w:rsidR="00000000" w:rsidRPr="00000000">
        <w:rPr>
          <w:rtl w:val="0"/>
        </w:rPr>
      </w:r>
    </w:p>
    <w:p w:rsidR="00000000" w:rsidDel="00000000" w:rsidP="00000000" w:rsidRDefault="00000000" w:rsidRPr="00000000" w14:paraId="00000127">
      <w:pPr>
        <w:spacing w:after="120" w:before="0" w:lineRule="auto"/>
        <w:rPr/>
      </w:pPr>
      <w:r w:rsidDel="00000000" w:rsidR="00000000" w:rsidRPr="00000000">
        <w:rPr>
          <w:rFonts w:ascii="Calibri" w:cs="Calibri" w:eastAsia="Calibri" w:hAnsi="Calibri"/>
          <w:color w:val="1a1a1a"/>
          <w:sz w:val="22"/>
          <w:szCs w:val="22"/>
          <w:rtl w:val="0"/>
        </w:rPr>
        <w:t xml:space="preserve">Combined approach (IV + local injection) is reasonable for complex cases where both concentrated local effect and systemic distribution are clinically warranted. This has not been evaluated in a controlled trial.</w:t>
      </w:r>
      <w:r w:rsidDel="00000000" w:rsidR="00000000" w:rsidRPr="00000000">
        <w:rPr>
          <w:rtl w:val="0"/>
        </w:rPr>
      </w:r>
    </w:p>
    <w:p w:rsidR="00000000" w:rsidDel="00000000" w:rsidP="00000000" w:rsidRDefault="00000000" w:rsidRPr="00000000" w14:paraId="00000128">
      <w:pPr>
        <w:spacing w:after="80" w:before="0" w:lineRule="auto"/>
        <w:rPr/>
      </w:pPr>
      <w:r w:rsidDel="00000000" w:rsidR="00000000" w:rsidRPr="00000000">
        <w:rPr>
          <w:rtl w:val="0"/>
        </w:rPr>
      </w:r>
    </w:p>
    <w:p w:rsidR="00000000" w:rsidDel="00000000" w:rsidP="00000000" w:rsidRDefault="00000000" w:rsidRPr="00000000" w14:paraId="00000129">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Q: When should I use MuseExosomes® or MuseSecretome™?</w:t>
      </w:r>
      <w:r w:rsidDel="00000000" w:rsidR="00000000" w:rsidRPr="00000000">
        <w:rPr>
          <w:rtl w:val="0"/>
        </w:rPr>
      </w:r>
    </w:p>
    <w:p w:rsidR="00000000" w:rsidDel="00000000" w:rsidP="00000000" w:rsidRDefault="00000000" w:rsidRPr="00000000" w14:paraId="0000012A">
      <w:pPr>
        <w:spacing w:after="120" w:before="0" w:lineRule="auto"/>
        <w:rPr/>
      </w:pPr>
      <w:r w:rsidDel="00000000" w:rsidR="00000000" w:rsidRPr="00000000">
        <w:rPr>
          <w:rFonts w:ascii="Calibri" w:cs="Calibri" w:eastAsia="Calibri" w:hAnsi="Calibri"/>
          <w:color w:val="1a1a1a"/>
          <w:sz w:val="22"/>
          <w:szCs w:val="22"/>
          <w:rtl w:val="0"/>
        </w:rPr>
        <w:t xml:space="preserve">Secretome/exosome products are appropriate as the primary therapeutic when the clinical goal is paracrine anti-inflammatory signaling without cellular engraftment — topical aesthetic applications, for example, or systemic inflammatory conditions where cellular product is not indicated. As an adjunct to cell therapy, secretome is most valuable in high-inflammation patients as a pre-treatment bridge to reduce inflammatory load and prepare a more receptive cellular microenvironment.</w:t>
      </w:r>
      <w:r w:rsidDel="00000000" w:rsidR="00000000" w:rsidRPr="00000000">
        <w:rPr>
          <w:rtl w:val="0"/>
        </w:rPr>
      </w:r>
    </w:p>
    <w:p w:rsidR="00000000" w:rsidDel="00000000" w:rsidP="00000000" w:rsidRDefault="00000000" w:rsidRPr="00000000" w14:paraId="0000012B">
      <w:pPr>
        <w:spacing w:after="120" w:before="0" w:lineRule="auto"/>
        <w:rPr/>
      </w:pPr>
      <w:r w:rsidDel="00000000" w:rsidR="00000000" w:rsidRPr="00000000">
        <w:rPr>
          <w:rFonts w:ascii="Calibri" w:cs="Calibri" w:eastAsia="Calibri" w:hAnsi="Calibri"/>
          <w:color w:val="1a1a1a"/>
          <w:sz w:val="22"/>
          <w:szCs w:val="22"/>
          <w:rtl w:val="0"/>
        </w:rPr>
        <w:t xml:space="preserve">Do not assume secretome and cells are interchangeable. Cells are the primary therapeutic agent — the secretome is an adjunct or alternative with a different mechanism and a different clinical profile.</w:t>
      </w:r>
      <w:r w:rsidDel="00000000" w:rsidR="00000000" w:rsidRPr="00000000">
        <w:rPr>
          <w:rtl w:val="0"/>
        </w:rPr>
      </w:r>
    </w:p>
    <w:p w:rsidR="00000000" w:rsidDel="00000000" w:rsidP="00000000" w:rsidRDefault="00000000" w:rsidRPr="00000000" w14:paraId="0000012C">
      <w:pPr>
        <w:spacing w:after="80" w:before="0" w:lineRule="auto"/>
        <w:rPr/>
      </w:pPr>
      <w:r w:rsidDel="00000000" w:rsidR="00000000" w:rsidRPr="00000000">
        <w:rPr>
          <w:rtl w:val="0"/>
        </w:rPr>
      </w:r>
    </w:p>
    <w:p w:rsidR="00000000" w:rsidDel="00000000" w:rsidP="00000000" w:rsidRDefault="00000000" w:rsidRPr="00000000" w14:paraId="0000012D">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Q: Can I use Dezawa MuseCells® in a patient with a history of cancer?</w:t>
      </w:r>
      <w:r w:rsidDel="00000000" w:rsidR="00000000" w:rsidRPr="00000000">
        <w:rPr>
          <w:rtl w:val="0"/>
        </w:rPr>
      </w:r>
    </w:p>
    <w:p w:rsidR="00000000" w:rsidDel="00000000" w:rsidP="00000000" w:rsidRDefault="00000000" w:rsidRPr="00000000" w14:paraId="0000012E">
      <w:pPr>
        <w:spacing w:after="120" w:before="0" w:lineRule="auto"/>
        <w:rPr/>
      </w:pPr>
      <w:r w:rsidDel="00000000" w:rsidR="00000000" w:rsidRPr="00000000">
        <w:rPr>
          <w:rFonts w:ascii="Calibri" w:cs="Calibri" w:eastAsia="Calibri" w:hAnsi="Calibri"/>
          <w:color w:val="1a1a1a"/>
          <w:sz w:val="22"/>
          <w:szCs w:val="22"/>
          <w:rtl w:val="0"/>
        </w:rPr>
        <w:t xml:space="preserve">Active malignancy: defer administration — no safety data exists for this population. Past/resolved malignancy: this is a patient-provider clinical discussion, not an absolute contraindication. No adverse oncological events have been documented in published trials. The non-tumorigenicity biology described in Section 1 is intrinsic to the cells, not conditional on patient history. Clinician judgment applies.</w:t>
      </w:r>
      <w:r w:rsidDel="00000000" w:rsidR="00000000" w:rsidRPr="00000000">
        <w:rPr>
          <w:rtl w:val="0"/>
        </w:rPr>
      </w:r>
    </w:p>
    <w:p w:rsidR="00000000" w:rsidDel="00000000" w:rsidP="00000000" w:rsidRDefault="00000000" w:rsidRPr="00000000" w14:paraId="0000012F">
      <w:pPr>
        <w:spacing w:after="80" w:before="0" w:lineRule="auto"/>
        <w:rPr/>
      </w:pPr>
      <w:r w:rsidDel="00000000" w:rsidR="00000000" w:rsidRPr="00000000">
        <w:rPr>
          <w:rtl w:val="0"/>
        </w:rPr>
      </w:r>
    </w:p>
    <w:p w:rsidR="00000000" w:rsidDel="00000000" w:rsidP="00000000" w:rsidRDefault="00000000" w:rsidRPr="00000000" w14:paraId="00000130">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Q: How do I manage patients with autoimmune conditions?</w:t>
      </w:r>
      <w:r w:rsidDel="00000000" w:rsidR="00000000" w:rsidRPr="00000000">
        <w:rPr>
          <w:rtl w:val="0"/>
        </w:rPr>
      </w:r>
    </w:p>
    <w:p w:rsidR="00000000" w:rsidDel="00000000" w:rsidP="00000000" w:rsidRDefault="00000000" w:rsidRPr="00000000" w14:paraId="00000131">
      <w:pPr>
        <w:spacing w:after="120" w:before="0" w:lineRule="auto"/>
        <w:rPr/>
      </w:pPr>
      <w:r w:rsidDel="00000000" w:rsidR="00000000" w:rsidRPr="00000000">
        <w:rPr>
          <w:rFonts w:ascii="Calibri" w:cs="Calibri" w:eastAsia="Calibri" w:hAnsi="Calibri"/>
          <w:color w:val="1a1a1a"/>
          <w:sz w:val="22"/>
          <w:szCs w:val="22"/>
          <w:rtl w:val="0"/>
        </w:rPr>
        <w:t xml:space="preserve">Patients with active autoimmune disease may experience a transient flare post-administration. This is manageable. Options: (1) secretome/exosome pre-treatment to reduce inflammatory baseline; (2) addressing identifiable upstream inflammatory drivers before cell administration; (3) proceeding with informed consent and close monitoring. Long-term outcomes in this population are generally favorable in clinical experience from authorized practitioners.</w:t>
      </w:r>
      <w:r w:rsidDel="00000000" w:rsidR="00000000" w:rsidRPr="00000000">
        <w:rPr>
          <w:rtl w:val="0"/>
        </w:rPr>
      </w:r>
    </w:p>
    <w:p w:rsidR="00000000" w:rsidDel="00000000" w:rsidP="00000000" w:rsidRDefault="00000000" w:rsidRPr="00000000" w14:paraId="00000132">
      <w:pPr>
        <w:spacing w:after="80" w:before="0" w:lineRule="auto"/>
        <w:rPr/>
      </w:pPr>
      <w:r w:rsidDel="00000000" w:rsidR="00000000" w:rsidRPr="00000000">
        <w:rPr>
          <w:rtl w:val="0"/>
        </w:rPr>
      </w:r>
    </w:p>
    <w:p w:rsidR="00000000" w:rsidDel="00000000" w:rsidP="00000000" w:rsidRDefault="00000000" w:rsidRPr="00000000" w14:paraId="00000133">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Q: Can Dezawa MuseCells® be used alongside conventional MSC products?</w:t>
      </w:r>
      <w:r w:rsidDel="00000000" w:rsidR="00000000" w:rsidRPr="00000000">
        <w:rPr>
          <w:rtl w:val="0"/>
        </w:rPr>
      </w:r>
    </w:p>
    <w:p w:rsidR="00000000" w:rsidDel="00000000" w:rsidP="00000000" w:rsidRDefault="00000000" w:rsidRPr="00000000" w14:paraId="00000134">
      <w:pPr>
        <w:spacing w:after="120" w:before="0" w:lineRule="auto"/>
        <w:rPr/>
      </w:pPr>
      <w:r w:rsidDel="00000000" w:rsidR="00000000" w:rsidRPr="00000000">
        <w:rPr>
          <w:rFonts w:ascii="Calibri" w:cs="Calibri" w:eastAsia="Calibri" w:hAnsi="Calibri"/>
          <w:color w:val="1a1a1a"/>
          <w:sz w:val="22"/>
          <w:szCs w:val="22"/>
          <w:rtl w:val="0"/>
        </w:rPr>
        <w:t xml:space="preserve">No. Co-administration or closely timed use eliminates the S1P homing gradient and defeats the mechanism that makes Dezawa MuseCells® distinct. Conventional MSCs suppress the S1P signal Muse cells use to find damaged tissue. Use the products in separate, spaced treatment cycles — not combined.</w:t>
      </w:r>
      <w:r w:rsidDel="00000000" w:rsidR="00000000" w:rsidRPr="00000000">
        <w:rPr>
          <w:rtl w:val="0"/>
        </w:rPr>
      </w:r>
    </w:p>
    <w:p w:rsidR="00000000" w:rsidDel="00000000" w:rsidP="00000000" w:rsidRDefault="00000000" w:rsidRPr="00000000" w14:paraId="00000135">
      <w:pPr>
        <w:spacing w:after="80" w:before="0" w:lineRule="auto"/>
        <w:rPr/>
      </w:pPr>
      <w:r w:rsidDel="00000000" w:rsidR="00000000" w:rsidRPr="00000000">
        <w:rPr>
          <w:rtl w:val="0"/>
        </w:rPr>
      </w:r>
    </w:p>
    <w:p w:rsidR="00000000" w:rsidDel="00000000" w:rsidP="00000000" w:rsidRDefault="00000000" w:rsidRPr="00000000" w14:paraId="00000136">
      <w:pPr>
        <w:pStyle w:val="Heading3"/>
        <w:spacing w:after="40" w:before="200" w:lineRule="auto"/>
        <w:rPr/>
      </w:pPr>
      <w:r w:rsidDel="00000000" w:rsidR="00000000" w:rsidRPr="00000000">
        <w:rPr>
          <w:rFonts w:ascii="Calibri" w:cs="Calibri" w:eastAsia="Calibri" w:hAnsi="Calibri"/>
          <w:b w:val="1"/>
          <w:bCs w:val="1"/>
          <w:color w:val="d7b172"/>
          <w:sz w:val="24"/>
          <w:szCs w:val="24"/>
          <w:rtl w:val="0"/>
        </w:rPr>
        <w:t xml:space="preserve">Q: How do I verify I am receiving authentic Dezawa MuseCells®?</w:t>
      </w:r>
      <w:r w:rsidDel="00000000" w:rsidR="00000000" w:rsidRPr="00000000">
        <w:rPr>
          <w:rtl w:val="0"/>
        </w:rPr>
      </w:r>
    </w:p>
    <w:p w:rsidR="00000000" w:rsidDel="00000000" w:rsidP="00000000" w:rsidRDefault="00000000" w:rsidRPr="00000000" w14:paraId="00000137">
      <w:pPr>
        <w:spacing w:after="120" w:before="0" w:lineRule="auto"/>
        <w:rPr/>
      </w:pPr>
      <w:r w:rsidDel="00000000" w:rsidR="00000000" w:rsidRPr="00000000">
        <w:rPr>
          <w:rFonts w:ascii="Calibri" w:cs="Calibri" w:eastAsia="Calibri" w:hAnsi="Calibri"/>
          <w:color w:val="1a1a1a"/>
          <w:sz w:val="22"/>
          <w:szCs w:val="22"/>
          <w:rtl w:val="0"/>
        </w:rPr>
        <w:t xml:space="preserve">Source through MCI-authorized supply partners only. Require lot-level documentation showing ≥70% SSEA-3+ purity and 80–90%+ viability. Verify the isolation antibody lot (BioLegend #330302 or Thermo Fisher MA1-020). Any product that cannot provide SSEA-3 purity documentation should not be administered as Dezawa MuseCells® — it cannot be verified as such.</w:t>
      </w:r>
      <w:r w:rsidDel="00000000" w:rsidR="00000000" w:rsidRPr="00000000">
        <w:rPr>
          <w:rtl w:val="0"/>
        </w:rPr>
      </w:r>
    </w:p>
    <w:p w:rsidR="00000000" w:rsidDel="00000000" w:rsidP="00000000" w:rsidRDefault="00000000" w:rsidRPr="00000000" w14:paraId="00000138">
      <w:pPr>
        <w:spacing w:after="80" w:before="0" w:lineRule="auto"/>
        <w:rPr/>
      </w:pPr>
      <w:r w:rsidDel="00000000" w:rsidR="00000000" w:rsidRPr="00000000">
        <w:rPr>
          <w:rtl w:val="0"/>
        </w:rPr>
      </w:r>
    </w:p>
    <w:tbl>
      <w:tblPr>
        <w:tblStyle w:val="Table1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d7b172" w:space="0" w:sz="4" w:val="single"/>
              <w:left w:color="d7b172" w:space="0" w:sz="6" w:val="single"/>
              <w:bottom w:color="d7b172" w:space="0" w:sz="4" w:val="single"/>
              <w:right w:color="d7b172" w:space="0" w:sz="4" w:val="single"/>
            </w:tcBorders>
            <w:shd w:fill="fdf6e8" w:val="clear"/>
            <w:tcMar>
              <w:top w:w="120.0" w:type="dxa"/>
              <w:left w:w="200.0" w:type="dxa"/>
              <w:bottom w:w="120.0" w:type="dxa"/>
              <w:right w:w="120.0" w:type="dxa"/>
            </w:tcMar>
          </w:tcPr>
          <w:p w:rsidR="00000000" w:rsidDel="00000000" w:rsidP="00000000" w:rsidRDefault="00000000" w:rsidRPr="00000000" w14:paraId="00000139">
            <w:pPr>
              <w:rPr/>
            </w:pPr>
            <w:r w:rsidDel="00000000" w:rsidR="00000000" w:rsidRPr="00000000">
              <w:rPr>
                <w:rFonts w:ascii="Calibri" w:cs="Calibri" w:eastAsia="Calibri" w:hAnsi="Calibri"/>
                <w:i w:val="1"/>
                <w:iCs w:val="1"/>
                <w:color w:val="7a5c1e"/>
                <w:sz w:val="22"/>
                <w:szCs w:val="22"/>
                <w:rtl w:val="0"/>
              </w:rPr>
              <w:t xml:space="preserve">All clinical decisions described in this section are at the sole discretion of the treating licensed clinician. This document provides a scientific framework grounded in published peer-reviewed evidence. It does not constitute a clinical protocol, prescriptive guideline, or recommendation for specific patient treatment.</w:t>
            </w:r>
            <w:r w:rsidDel="00000000" w:rsidR="00000000" w:rsidRPr="00000000">
              <w:rPr>
                <w:rtl w:val="0"/>
              </w:rPr>
            </w:r>
          </w:p>
        </w:tc>
      </w:tr>
    </w:tbl>
    <w:p w:rsidR="00000000" w:rsidDel="00000000" w:rsidP="00000000" w:rsidRDefault="00000000" w:rsidRPr="00000000" w14:paraId="0000013A">
      <w:pPr>
        <w:rPr/>
      </w:pPr>
      <w:r w:rsidDel="00000000" w:rsidR="00000000" w:rsidRPr="00000000">
        <w:br w:type="page"/>
      </w:r>
      <w:r w:rsidDel="00000000" w:rsidR="00000000" w:rsidRPr="00000000">
        <w:rPr>
          <w:rtl w:val="0"/>
        </w:rPr>
      </w:r>
    </w:p>
    <w:tbl>
      <w:tblPr>
        <w:tblStyle w:val="Table1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f434d" w:space="0" w:sz="4" w:val="single"/>
              <w:left w:color="0f434d" w:space="0" w:sz="4" w:val="single"/>
              <w:bottom w:color="0f434d" w:space="0" w:sz="4" w:val="single"/>
              <w:right w:color="0f434d" w:space="0" w:sz="4" w:val="single"/>
            </w:tcBorders>
            <w:shd w:fill="0f434d" w:val="clear"/>
            <w:tcMar>
              <w:top w:w="80.0" w:type="dxa"/>
              <w:left w:w="200.0" w:type="dxa"/>
              <w:bottom w:w="80.0" w:type="dxa"/>
              <w:right w:w="120.0" w:type="dxa"/>
            </w:tcMar>
          </w:tcPr>
          <w:p w:rsidR="00000000" w:rsidDel="00000000" w:rsidP="00000000" w:rsidRDefault="00000000" w:rsidRPr="00000000" w14:paraId="0000013B">
            <w:pPr>
              <w:rPr/>
            </w:pPr>
            <w:r w:rsidDel="00000000" w:rsidR="00000000" w:rsidRPr="00000000">
              <w:rPr>
                <w:rFonts w:ascii="Calibri" w:cs="Calibri" w:eastAsia="Calibri" w:hAnsi="Calibri"/>
                <w:b w:val="1"/>
                <w:bCs w:val="1"/>
                <w:color w:val="ffffff"/>
                <w:sz w:val="20"/>
                <w:szCs w:val="20"/>
                <w:rtl w:val="0"/>
              </w:rPr>
              <w:t xml:space="preserve">KEY REFERENCES</w:t>
            </w:r>
            <w:r w:rsidDel="00000000" w:rsidR="00000000" w:rsidRPr="00000000">
              <w:rPr>
                <w:rtl w:val="0"/>
              </w:rPr>
            </w:r>
          </w:p>
        </w:tc>
      </w:tr>
    </w:tbl>
    <w:p w:rsidR="00000000" w:rsidDel="00000000" w:rsidP="00000000" w:rsidRDefault="00000000" w:rsidRPr="00000000" w14:paraId="0000013C">
      <w:pPr>
        <w:spacing w:after="80" w:before="0" w:lineRule="auto"/>
        <w:rPr/>
      </w:pPr>
      <w:r w:rsidDel="00000000" w:rsidR="00000000" w:rsidRPr="00000000">
        <w:rPr>
          <w:rtl w:val="0"/>
        </w:rPr>
      </w:r>
    </w:p>
    <w:p w:rsidR="00000000" w:rsidDel="00000000" w:rsidP="00000000" w:rsidRDefault="00000000" w:rsidRPr="00000000" w14:paraId="0000013D">
      <w:pPr>
        <w:pStyle w:val="Heading1"/>
        <w:spacing w:after="60" w:before="360" w:lineRule="auto"/>
        <w:rPr/>
      </w:pPr>
      <w:r w:rsidDel="00000000" w:rsidR="00000000" w:rsidRPr="00000000">
        <w:rPr>
          <w:rFonts w:ascii="Calibri" w:cs="Calibri" w:eastAsia="Calibri" w:hAnsi="Calibri"/>
          <w:b w:val="1"/>
          <w:bCs w:val="1"/>
          <w:color w:val="0f434d"/>
          <w:sz w:val="36"/>
          <w:szCs w:val="36"/>
          <w:rtl w:val="0"/>
        </w:rPr>
        <w:t xml:space="preserve">Selected Literature</w:t>
      </w:r>
      <w:r w:rsidDel="00000000" w:rsidR="00000000" w:rsidRPr="00000000">
        <w:rPr>
          <w:rtl w:val="0"/>
        </w:rPr>
      </w:r>
    </w:p>
    <w:p w:rsidR="00000000" w:rsidDel="00000000" w:rsidP="00000000" w:rsidRDefault="00000000" w:rsidRPr="00000000" w14:paraId="0000013E">
      <w:pPr>
        <w:spacing w:after="120" w:before="0" w:lineRule="auto"/>
        <w:rPr/>
      </w:pPr>
      <w:r w:rsidDel="00000000" w:rsidR="00000000" w:rsidRPr="00000000">
        <w:rPr>
          <w:rFonts w:ascii="Calibri" w:cs="Calibri" w:eastAsia="Calibri" w:hAnsi="Calibri"/>
          <w:color w:val="1a1a1a"/>
          <w:sz w:val="22"/>
          <w:szCs w:val="22"/>
          <w:rtl w:val="0"/>
        </w:rPr>
        <w:t xml:space="preserve">The following publications represent key peer-reviewed sources underpinning the science and clinical evidence for Dezawa MuseCells®. A comprehensive research index is available at musecellinnovations.com/research-hub.</w:t>
      </w:r>
      <w:r w:rsidDel="00000000" w:rsidR="00000000" w:rsidRPr="00000000">
        <w:rPr>
          <w:rtl w:val="0"/>
        </w:rPr>
      </w:r>
    </w:p>
    <w:p w:rsidR="00000000" w:rsidDel="00000000" w:rsidP="00000000" w:rsidRDefault="00000000" w:rsidRPr="00000000" w14:paraId="0000013F">
      <w:pPr>
        <w:spacing w:after="80" w:before="0" w:lineRule="auto"/>
        <w:rPr/>
      </w:pPr>
      <w:r w:rsidDel="00000000" w:rsidR="00000000" w:rsidRPr="00000000">
        <w:rPr>
          <w:rtl w:val="0"/>
        </w:rPr>
      </w:r>
    </w:p>
    <w:p w:rsidR="00000000" w:rsidDel="00000000" w:rsidP="00000000" w:rsidRDefault="00000000" w:rsidRPr="00000000" w14:paraId="00000140">
      <w:pPr>
        <w:spacing w:after="120" w:before="0" w:lineRule="auto"/>
        <w:rPr/>
      </w:pPr>
      <w:r w:rsidDel="00000000" w:rsidR="00000000" w:rsidRPr="00000000">
        <w:rPr>
          <w:rFonts w:ascii="Calibri" w:cs="Calibri" w:eastAsia="Calibri" w:hAnsi="Calibri"/>
          <w:color w:val="1a1a1a"/>
          <w:sz w:val="22"/>
          <w:szCs w:val="22"/>
          <w:rtl w:val="0"/>
        </w:rPr>
        <w:t xml:space="preserve">Dezawa M, et al. (2004). Specific induction of neuronal cells from bone marrow stromal cells and application for autologous transplantation. J Clin Invest.</w:t>
      </w:r>
      <w:r w:rsidDel="00000000" w:rsidR="00000000" w:rsidRPr="00000000">
        <w:rPr>
          <w:rtl w:val="0"/>
        </w:rPr>
      </w:r>
    </w:p>
    <w:p w:rsidR="00000000" w:rsidDel="00000000" w:rsidP="00000000" w:rsidRDefault="00000000" w:rsidRPr="00000000" w14:paraId="00000141">
      <w:pPr>
        <w:spacing w:after="120" w:before="0" w:lineRule="auto"/>
        <w:rPr/>
      </w:pPr>
      <w:r w:rsidDel="00000000" w:rsidR="00000000" w:rsidRPr="00000000">
        <w:rPr>
          <w:rFonts w:ascii="Calibri" w:cs="Calibri" w:eastAsia="Calibri" w:hAnsi="Calibri"/>
          <w:color w:val="1a1a1a"/>
          <w:sz w:val="22"/>
          <w:szCs w:val="22"/>
          <w:rtl w:val="0"/>
        </w:rPr>
        <w:t xml:space="preserve">Kuroda Y, et al. (2010). Unique multipotent cells in adult human mesenchymal cell populations. PNAS. [Discovery of Muse cells / SSEA-3 characterization]</w:t>
      </w:r>
      <w:r w:rsidDel="00000000" w:rsidR="00000000" w:rsidRPr="00000000">
        <w:rPr>
          <w:rtl w:val="0"/>
        </w:rPr>
      </w:r>
    </w:p>
    <w:p w:rsidR="00000000" w:rsidDel="00000000" w:rsidP="00000000" w:rsidRDefault="00000000" w:rsidRPr="00000000" w14:paraId="00000142">
      <w:pPr>
        <w:spacing w:after="120" w:before="0" w:lineRule="auto"/>
        <w:rPr/>
      </w:pPr>
      <w:r w:rsidDel="00000000" w:rsidR="00000000" w:rsidRPr="00000000">
        <w:rPr>
          <w:rFonts w:ascii="Calibri" w:cs="Calibri" w:eastAsia="Calibri" w:hAnsi="Calibri"/>
          <w:color w:val="1a1a1a"/>
          <w:sz w:val="22"/>
          <w:szCs w:val="22"/>
          <w:rtl w:val="0"/>
        </w:rPr>
        <w:t xml:space="preserve">Wakao S, et al. (2011). Multilineage-differentiating stress-enduring (Muse) cells are a primary source of induced pluripotent stem cells in human fibroblasts. PNAS.</w:t>
      </w:r>
      <w:r w:rsidDel="00000000" w:rsidR="00000000" w:rsidRPr="00000000">
        <w:rPr>
          <w:rtl w:val="0"/>
        </w:rPr>
      </w:r>
    </w:p>
    <w:p w:rsidR="00000000" w:rsidDel="00000000" w:rsidP="00000000" w:rsidRDefault="00000000" w:rsidRPr="00000000" w14:paraId="00000143">
      <w:pPr>
        <w:spacing w:after="120" w:before="0" w:lineRule="auto"/>
        <w:rPr/>
      </w:pPr>
      <w:r w:rsidDel="00000000" w:rsidR="00000000" w:rsidRPr="00000000">
        <w:rPr>
          <w:rFonts w:ascii="Calibri" w:cs="Calibri" w:eastAsia="Calibri" w:hAnsi="Calibri"/>
          <w:color w:val="1a1a1a"/>
          <w:sz w:val="22"/>
          <w:szCs w:val="22"/>
          <w:rtl w:val="0"/>
        </w:rPr>
        <w:t xml:space="preserve">Dezawa M. (2016). Muse Cells Provide the Pluripotency of Mesenchymal Stem Cells. PMID: 26884346. [Pluripotency pillar]</w:t>
      </w:r>
      <w:r w:rsidDel="00000000" w:rsidR="00000000" w:rsidRPr="00000000">
        <w:rPr>
          <w:rtl w:val="0"/>
        </w:rPr>
      </w:r>
    </w:p>
    <w:p w:rsidR="00000000" w:rsidDel="00000000" w:rsidP="00000000" w:rsidRDefault="00000000" w:rsidRPr="00000000" w14:paraId="00000144">
      <w:pPr>
        <w:spacing w:after="120" w:before="0" w:lineRule="auto"/>
        <w:rPr/>
      </w:pPr>
      <w:r w:rsidDel="00000000" w:rsidR="00000000" w:rsidRPr="00000000">
        <w:rPr>
          <w:rFonts w:ascii="Calibri" w:cs="Calibri" w:eastAsia="Calibri" w:hAnsi="Calibri"/>
          <w:color w:val="1a1a1a"/>
          <w:sz w:val="22"/>
          <w:szCs w:val="22"/>
          <w:rtl w:val="0"/>
        </w:rPr>
        <w:t xml:space="preserve">Hori E, et al. (2020). Safety and Efficacy of Human Muse Cell-Based Product for Acute Myocardial Infarction in a First-in-Human Trial. PMID: 32522904.</w:t>
      </w:r>
      <w:r w:rsidDel="00000000" w:rsidR="00000000" w:rsidRPr="00000000">
        <w:rPr>
          <w:rtl w:val="0"/>
        </w:rPr>
      </w:r>
    </w:p>
    <w:p w:rsidR="00000000" w:rsidDel="00000000" w:rsidP="00000000" w:rsidRDefault="00000000" w:rsidRPr="00000000" w14:paraId="00000145">
      <w:pPr>
        <w:spacing w:after="120" w:before="0" w:lineRule="auto"/>
        <w:rPr/>
      </w:pPr>
      <w:r w:rsidDel="00000000" w:rsidR="00000000" w:rsidRPr="00000000">
        <w:rPr>
          <w:rFonts w:ascii="Calibri" w:cs="Calibri" w:eastAsia="Calibri" w:hAnsi="Calibri"/>
          <w:color w:val="1a1a1a"/>
          <w:sz w:val="22"/>
          <w:szCs w:val="22"/>
          <w:rtl w:val="0"/>
        </w:rPr>
        <w:t xml:space="preserve">Yamada Y, et al. (2021). Non-Tumorigenic Pluripotent Reparative Muse Cells Provide a New Therapeutic Approach for Neurologic Diseases. PMC8074773. [Non-tumorigenicity; homing; immune privilege]</w:t>
      </w:r>
      <w:r w:rsidDel="00000000" w:rsidR="00000000" w:rsidRPr="00000000">
        <w:rPr>
          <w:rtl w:val="0"/>
        </w:rPr>
      </w:r>
    </w:p>
    <w:p w:rsidR="00000000" w:rsidDel="00000000" w:rsidP="00000000" w:rsidRDefault="00000000" w:rsidRPr="00000000" w14:paraId="00000146">
      <w:pPr>
        <w:spacing w:after="120" w:before="0" w:lineRule="auto"/>
        <w:rPr/>
      </w:pPr>
      <w:r w:rsidDel="00000000" w:rsidR="00000000" w:rsidRPr="00000000">
        <w:rPr>
          <w:rFonts w:ascii="Calibri" w:cs="Calibri" w:eastAsia="Calibri" w:hAnsi="Calibri"/>
          <w:color w:val="1a1a1a"/>
          <w:sz w:val="22"/>
          <w:szCs w:val="22"/>
          <w:rtl w:val="0"/>
        </w:rPr>
        <w:t xml:space="preserve">Dezawa M. (2022). Endogenous reparative pluripotent Muse cells with a unique immune privilege system. Front Pharmacol. PMC9627303. [Immune privilege pillar]</w:t>
      </w:r>
      <w:r w:rsidDel="00000000" w:rsidR="00000000" w:rsidRPr="00000000">
        <w:rPr>
          <w:rtl w:val="0"/>
        </w:rPr>
      </w:r>
    </w:p>
    <w:p w:rsidR="00000000" w:rsidDel="00000000" w:rsidP="00000000" w:rsidRDefault="00000000" w:rsidRPr="00000000" w14:paraId="00000147">
      <w:pPr>
        <w:spacing w:after="120" w:before="0" w:lineRule="auto"/>
        <w:rPr/>
      </w:pPr>
      <w:r w:rsidDel="00000000" w:rsidR="00000000" w:rsidRPr="00000000">
        <w:rPr>
          <w:rFonts w:ascii="Calibri" w:cs="Calibri" w:eastAsia="Calibri" w:hAnsi="Calibri"/>
          <w:color w:val="1a1a1a"/>
          <w:sz w:val="22"/>
          <w:szCs w:val="22"/>
          <w:rtl w:val="0"/>
        </w:rPr>
        <w:t xml:space="preserve">Fischer UM, et al. (2009). Pulmonary Passage is a Major Obstacle for Intravenous Stem Cell Delivery: The Pulmonary First-Pass Effect. Stem Cells Dev. PMC3190292. [MSC lung trapping]</w:t>
      </w:r>
      <w:r w:rsidDel="00000000" w:rsidR="00000000" w:rsidRPr="00000000">
        <w:rPr>
          <w:rtl w:val="0"/>
        </w:rPr>
      </w:r>
    </w:p>
    <w:p w:rsidR="00000000" w:rsidDel="00000000" w:rsidP="00000000" w:rsidRDefault="00000000" w:rsidRPr="00000000" w14:paraId="00000148">
      <w:pPr>
        <w:spacing w:after="120" w:before="0" w:lineRule="auto"/>
        <w:rPr/>
      </w:pPr>
      <w:r w:rsidDel="00000000" w:rsidR="00000000" w:rsidRPr="00000000">
        <w:rPr>
          <w:rFonts w:ascii="Calibri" w:cs="Calibri" w:eastAsia="Calibri" w:hAnsi="Calibri"/>
          <w:color w:val="1a1a1a"/>
          <w:sz w:val="22"/>
          <w:szCs w:val="22"/>
          <w:rtl w:val="0"/>
        </w:rPr>
        <w:t xml:space="preserve">Dezawa M et al. (2025). Macrophage- and pluripotent-like reparative Muse cells are unique endogenous stem cells distinct from other somatic stem cells. Front Bioeng Biotechnol. PMC11983611.</w:t>
      </w:r>
      <w:r w:rsidDel="00000000" w:rsidR="00000000" w:rsidRPr="00000000">
        <w:rPr>
          <w:rtl w:val="0"/>
        </w:rPr>
      </w:r>
    </w:p>
    <w:p w:rsidR="00000000" w:rsidDel="00000000" w:rsidP="00000000" w:rsidRDefault="00000000" w:rsidRPr="00000000" w14:paraId="00000149">
      <w:pPr>
        <w:spacing w:after="120" w:before="0" w:lineRule="auto"/>
        <w:rPr/>
      </w:pPr>
      <w:r w:rsidDel="00000000" w:rsidR="00000000" w:rsidRPr="00000000">
        <w:rPr>
          <w:rFonts w:ascii="Calibri" w:cs="Calibri" w:eastAsia="Calibri" w:hAnsi="Calibri"/>
          <w:color w:val="1a1a1a"/>
          <w:sz w:val="22"/>
          <w:szCs w:val="22"/>
          <w:rtl w:val="0"/>
        </w:rPr>
        <w:t xml:space="preserve">Lu Z, Ren S, Wang B, et al. (2025). 3D dynamic culture of Muse cells on a porous gelatin microsphere after magnetic sorting: Achieving high purity proliferation. Regenerative Therapy 28:402–412. https://doi.org/10.1016/j.reth.2025.01.003. [Homing in musculoskeletal injury model; magnetic sorting; 3D expansion methodology]</w:t>
      </w:r>
      <w:r w:rsidDel="00000000" w:rsidR="00000000" w:rsidRPr="00000000">
        <w:rPr>
          <w:rtl w:val="0"/>
        </w:rPr>
      </w:r>
    </w:p>
    <w:p w:rsidR="00000000" w:rsidDel="00000000" w:rsidP="00000000" w:rsidRDefault="00000000" w:rsidRPr="00000000" w14:paraId="0000014A">
      <w:pPr>
        <w:spacing w:after="160" w:before="0" w:lineRule="auto"/>
        <w:rPr/>
      </w:pPr>
      <w:r w:rsidDel="00000000" w:rsidR="00000000" w:rsidRPr="00000000">
        <w:rPr>
          <w:rtl w:val="0"/>
        </w:rPr>
      </w:r>
    </w:p>
    <w:p w:rsidR="00000000" w:rsidDel="00000000" w:rsidP="00000000" w:rsidRDefault="00000000" w:rsidRPr="00000000" w14:paraId="0000014B">
      <w:pPr>
        <w:spacing w:before="240" w:lineRule="auto"/>
        <w:jc w:val="center"/>
        <w:rPr/>
      </w:pPr>
      <w:r w:rsidDel="00000000" w:rsidR="00000000" w:rsidRPr="00000000">
        <w:rPr>
          <w:rFonts w:ascii="Calibri" w:cs="Calibri" w:eastAsia="Calibri" w:hAnsi="Calibri"/>
          <w:i w:val="1"/>
          <w:iCs w:val="1"/>
          <w:color w:val="888888"/>
          <w:sz w:val="18"/>
          <w:szCs w:val="18"/>
          <w:rtl w:val="0"/>
        </w:rPr>
        <w:t xml:space="preserve">© 2026 MuseCell Innovations® PTE LTD. All rights reserved. For licensed clinical and institutional use only.</w:t>
      </w:r>
      <w:r w:rsidDel="00000000" w:rsidR="00000000" w:rsidRPr="00000000">
        <w:rPr>
          <w:rtl w:val="0"/>
        </w:rPr>
      </w:r>
    </w:p>
    <w:sectPr>
      <w:headerReference r:id="rId6" w:type="default"/>
      <w:footerReference r:id="rId7" w:type="default"/>
      <w:pgSz w:h="15840" w:w="12240" w:orient="portrait"/>
      <w:pgMar w:bottom="1080" w:top="108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D">
    <w:pPr>
      <w:pBdr>
        <w:top w:color="d7b172" w:space="4" w:sz="4" w:val="single"/>
      </w:pBdr>
      <w:tabs>
        <w:tab w:val="right" w:leader="none" w:pos="9360"/>
      </w:tabs>
      <w:rPr/>
    </w:pPr>
    <w:r w:rsidDel="00000000" w:rsidR="00000000" w:rsidRPr="00000000">
      <w:rPr>
        <w:rFonts w:ascii="Calibri" w:cs="Calibri" w:eastAsia="Calibri" w:hAnsi="Calibri"/>
        <w:i w:val="1"/>
        <w:iCs w:val="1"/>
        <w:color w:val="888888"/>
        <w:sz w:val="16"/>
        <w:szCs w:val="16"/>
        <w:rtl w:val="0"/>
      </w:rPr>
      <w:t xml:space="preserve">For licensed clinicians only. Use governed by applicable local regulatory frameworks. Not for patient distribution.</w:t>
    </w:r>
    <w:r w:rsidDel="00000000" w:rsidR="00000000" w:rsidRPr="00000000">
      <w:rPr>
        <w:rFonts w:ascii="Calibri" w:cs="Calibri" w:eastAsia="Calibri" w:hAnsi="Calibri"/>
        <w:color w:val="888888"/>
        <w:sz w:val="16"/>
        <w:szCs w:val="16"/>
        <w:rtl w:val="0"/>
      </w:rPr>
      <w:t xml:space="preserve">Page </w:t>
    </w:r>
    <w:r w:rsidDel="00000000" w:rsidR="00000000" w:rsidRPr="00000000">
      <w:rPr>
        <w:rFonts w:ascii="Calibri" w:cs="Calibri" w:eastAsia="Calibri" w:hAnsi="Calibri"/>
        <w:color w:val="888888"/>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C">
    <w:pPr>
      <w:pBdr>
        <w:bottom w:color="d7b172" w:space="4" w:sz="4" w:val="single"/>
      </w:pBdr>
      <w:tabs>
        <w:tab w:val="right" w:leader="none" w:pos="9360"/>
      </w:tabs>
      <w:spacing w:after="0" w:lineRule="auto"/>
      <w:rPr/>
    </w:pPr>
    <w:r w:rsidDel="00000000" w:rsidR="00000000" w:rsidRPr="00000000">
      <w:rPr/>
      <w:drawing>
        <wp:inline distB="0" distT="0" distL="0" distR="0">
          <wp:extent cx="2462213" cy="342900"/>
          <wp:effectExtent b="0" l="0" r="0" t="0"/>
          <wp:docPr descr="MuseCell Innovations logo" id="1" name="image1.png"/>
          <a:graphic>
            <a:graphicData uri="http://schemas.openxmlformats.org/drawingml/2006/picture">
              <pic:pic>
                <pic:nvPicPr>
                  <pic:cNvPr descr="MuseCell Innovations logo" id="0" name="image1.png"/>
                  <pic:cNvPicPr preferRelativeResize="0"/>
                </pic:nvPicPr>
                <pic:blipFill>
                  <a:blip r:embed="rId1"/>
                  <a:srcRect b="0" l="0" r="0" t="0"/>
                  <a:stretch>
                    <a:fillRect/>
                  </a:stretch>
                </pic:blipFill>
                <pic:spPr>
                  <a:xfrm>
                    <a:off x="0" y="0"/>
                    <a:ext cx="2462213" cy="342900"/>
                  </a:xfrm>
                  <a:prstGeom prst="rect"/>
                  <a:ln/>
                </pic:spPr>
              </pic:pic>
            </a:graphicData>
          </a:graphic>
        </wp:inline>
      </w:drawing>
    </w:r>
    <w:r w:rsidDel="00000000" w:rsidR="00000000" w:rsidRPr="00000000">
      <w:rPr>
        <w:rFonts w:ascii="Calibri" w:cs="Calibri" w:eastAsia="Calibri" w:hAnsi="Calibri"/>
        <w:i w:val="1"/>
        <w:iCs w:val="1"/>
        <w:color w:val="4a6b72"/>
        <w:sz w:val="18"/>
        <w:szCs w:val="18"/>
        <w:rtl w:val="0"/>
      </w:rPr>
      <w:t xml:space="preserve">Dezawa MuseCell® Clinician Education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360" w:line="240" w:lineRule="auto"/>
      <w:ind w:left="0" w:right="0" w:firstLine="0"/>
      <w:jc w:val="left"/>
    </w:pPr>
    <w:rPr>
      <w:rFonts w:ascii="Calibri" w:cs="Calibri" w:eastAsia="Calibri" w:hAnsi="Calibri"/>
      <w:b w:val="1"/>
      <w:bCs w:val="1"/>
      <w:i w:val="0"/>
      <w:iCs w:val="0"/>
      <w:smallCaps w:val="0"/>
      <w:strike w:val="0"/>
      <w:color w:val="0f434d"/>
      <w:sz w:val="36"/>
      <w:szCs w:val="36"/>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80" w:line="240" w:lineRule="auto"/>
      <w:ind w:left="0" w:right="0" w:firstLine="0"/>
      <w:jc w:val="left"/>
    </w:pPr>
    <w:rPr>
      <w:rFonts w:ascii="Calibri" w:cs="Calibri" w:eastAsia="Calibri" w:hAnsi="Calibri"/>
      <w:b w:val="1"/>
      <w:bCs w:val="1"/>
      <w:i w:val="0"/>
      <w:iCs w:val="0"/>
      <w:smallCaps w:val="0"/>
      <w:strike w:val="0"/>
      <w:color w:val="0f434d"/>
      <w:sz w:val="28"/>
      <w:szCs w:val="28"/>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bCs w:val="1"/>
      <w:i w:val="0"/>
      <w:iCs w:val="0"/>
      <w:smallCaps w:val="0"/>
      <w:strike w:val="0"/>
      <w:color w:val="d7b172"/>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