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7444E41" w:rsidR="00810E29" w:rsidRDefault="00750EF5">
      <w:pPr>
        <w:rPr>
          <w:color w:val="062E6F"/>
          <w:shd w:val="clear" w:color="auto" w:fill="D6EAFF"/>
        </w:rPr>
      </w:pPr>
      <w:r>
        <w:rPr>
          <w:color w:val="062E6F"/>
          <w:shd w:val="clear" w:color="auto" w:fill="D6EAFF"/>
        </w:rPr>
        <w:t xml:space="preserve"> </w:t>
      </w:r>
      <w:r w:rsidR="00000000">
        <w:rPr>
          <w:color w:val="062E6F"/>
          <w:shd w:val="clear" w:color="auto" w:fill="D6EAFF"/>
        </w:rPr>
        <w:t>Jun 5, 2026</w:t>
      </w:r>
    </w:p>
    <w:p w14:paraId="00000002" w14:textId="77777777" w:rsidR="00810E29" w:rsidRDefault="00000000">
      <w:pPr>
        <w:pStyle w:val="Heading2"/>
      </w:pPr>
      <w:bookmarkStart w:id="0" w:name="_25uvccyqzp4f" w:colFirst="0" w:colLast="0"/>
      <w:bookmarkEnd w:id="0"/>
      <w:r>
        <w:t>Muse Cell Training with Dr. Jeffrey Wiegers</w:t>
      </w:r>
    </w:p>
    <w:p w14:paraId="00000003" w14:textId="77777777" w:rsidR="00810E29" w:rsidRDefault="00000000">
      <w:r>
        <w:t xml:space="preserve">Invited </w:t>
      </w:r>
      <w:hyperlink r:id="rId5">
        <w:r>
          <w:rPr>
            <w:color w:val="0000EE"/>
            <w:u w:val="single"/>
          </w:rPr>
          <w:t>Angela Arbolida</w:t>
        </w:r>
      </w:hyperlink>
      <w:r>
        <w:t xml:space="preserve"> </w:t>
      </w:r>
      <w:hyperlink r:id="rId6">
        <w:r>
          <w:rPr>
            <w:color w:val="0000EE"/>
            <w:u w:val="single"/>
          </w:rPr>
          <w:t>Tyrone Garnett</w:t>
        </w:r>
      </w:hyperlink>
      <w:r>
        <w:t xml:space="preserve"> </w:t>
      </w:r>
      <w:hyperlink r:id="rId7">
        <w:r>
          <w:rPr>
            <w:color w:val="0000EE"/>
            <w:u w:val="single"/>
          </w:rPr>
          <w:t>Gretchen Hudson</w:t>
        </w:r>
      </w:hyperlink>
      <w:r>
        <w:t xml:space="preserve"> </w:t>
      </w:r>
      <w:hyperlink r:id="rId8">
        <w:r>
          <w:rPr>
            <w:color w:val="0000EE"/>
            <w:u w:val="single"/>
          </w:rPr>
          <w:t>Timmi Stump</w:t>
        </w:r>
      </w:hyperlink>
      <w:r>
        <w:t xml:space="preserve"> </w:t>
      </w:r>
      <w:hyperlink r:id="rId9">
        <w:r>
          <w:rPr>
            <w:color w:val="0000EE"/>
            <w:u w:val="single"/>
          </w:rPr>
          <w:t>jeffrey.wiegers@musecellinnovations.com</w:t>
        </w:r>
      </w:hyperlink>
      <w:r>
        <w:t xml:space="preserve"> </w:t>
      </w:r>
      <w:hyperlink r:id="rId10">
        <w:r>
          <w:rPr>
            <w:color w:val="0000EE"/>
            <w:u w:val="single"/>
          </w:rPr>
          <w:t>Jenna Larson</w:t>
        </w:r>
      </w:hyperlink>
    </w:p>
    <w:p w14:paraId="00000004" w14:textId="77777777" w:rsidR="00810E29" w:rsidRDefault="00000000">
      <w:r>
        <w:t xml:space="preserve">Attachments </w:t>
      </w:r>
      <w:hyperlink r:id="rId11">
        <w:r>
          <w:rPr>
            <w:color w:val="0000EE"/>
            <w:u w:val="single"/>
          </w:rPr>
          <w:t>Muse Cell Training with Dr. Jeffrey Wiegers</w:t>
        </w:r>
      </w:hyperlink>
    </w:p>
    <w:p w14:paraId="00000005" w14:textId="77777777" w:rsidR="00810E29" w:rsidRDefault="00000000">
      <w:pPr>
        <w:rPr>
          <w:i/>
          <w:iCs/>
          <w:color w:val="747775"/>
        </w:rPr>
      </w:pPr>
      <w:r>
        <w:t xml:space="preserve">Meeting records </w:t>
      </w:r>
      <w:hyperlink r:id="rId12">
        <w:r>
          <w:rPr>
            <w:color w:val="0000EE"/>
            <w:u w:val="single"/>
          </w:rPr>
          <w:t>Transcript</w:t>
        </w:r>
      </w:hyperlink>
      <w:r>
        <w:t xml:space="preserve"> </w:t>
      </w:r>
      <w:hyperlink r:id="rId13">
        <w:r>
          <w:rPr>
            <w:color w:val="0000EE"/>
            <w:u w:val="single"/>
          </w:rPr>
          <w:t>Recording</w:t>
        </w:r>
      </w:hyperlink>
      <w:r>
        <w:t xml:space="preserve"> </w:t>
      </w:r>
    </w:p>
    <w:p w14:paraId="00000006" w14:textId="77777777" w:rsidR="00810E29" w:rsidRDefault="00810E29"/>
    <w:p w14:paraId="00000007" w14:textId="77777777" w:rsidR="00810E29" w:rsidRDefault="00810E29"/>
    <w:p w14:paraId="00000008" w14:textId="77777777" w:rsidR="00810E29" w:rsidRDefault="00000000">
      <w:pPr>
        <w:pStyle w:val="Heading3"/>
        <w:rPr>
          <w:color w:val="303030"/>
          <w:sz w:val="28"/>
          <w:szCs w:val="28"/>
        </w:rPr>
      </w:pPr>
      <w:bookmarkStart w:id="1" w:name="_6d2ajtkslvdp" w:colFirst="0" w:colLast="0"/>
      <w:bookmarkEnd w:id="1"/>
      <w:r>
        <w:t>Summary</w:t>
      </w:r>
    </w:p>
    <w:p w14:paraId="00000009" w14:textId="77777777" w:rsidR="00810E29" w:rsidRDefault="00000000">
      <w:pPr>
        <w:rPr>
          <w:sz w:val="28"/>
          <w:szCs w:val="28"/>
        </w:rPr>
      </w:pPr>
      <w:r>
        <w:rPr>
          <w:sz w:val="28"/>
          <w:szCs w:val="28"/>
        </w:rPr>
        <w:t>Meeting discussions defined Muse cell science and identified target clinical markets while evaluating administration and safety protocols.</w:t>
      </w:r>
      <w:r>
        <w:rPr>
          <w:sz w:val="28"/>
          <w:szCs w:val="28"/>
        </w:rPr>
        <w:br/>
      </w:r>
      <w:r>
        <w:rPr>
          <w:sz w:val="28"/>
          <w:szCs w:val="28"/>
        </w:rPr>
        <w:br/>
      </w:r>
      <w:r>
        <w:rPr>
          <w:b/>
          <w:bCs/>
          <w:sz w:val="28"/>
          <w:szCs w:val="28"/>
        </w:rPr>
        <w:t>Defining Muse Cell Science</w:t>
      </w:r>
      <w:r>
        <w:rPr>
          <w:sz w:val="28"/>
          <w:szCs w:val="28"/>
        </w:rPr>
        <w:br/>
        <w:t>Muse cells act as pluripotent agents that actively migrate to inflammation sites unlike typical mesenchymal stem cells. They provide superior immune survivability and resilience through specific cellular pathways.</w:t>
      </w:r>
      <w:r>
        <w:rPr>
          <w:sz w:val="28"/>
          <w:szCs w:val="28"/>
        </w:rPr>
        <w:br/>
      </w:r>
      <w:r>
        <w:rPr>
          <w:sz w:val="28"/>
          <w:szCs w:val="28"/>
        </w:rPr>
        <w:br/>
      </w:r>
      <w:r>
        <w:rPr>
          <w:b/>
          <w:bCs/>
          <w:sz w:val="28"/>
          <w:szCs w:val="28"/>
        </w:rPr>
        <w:t>Clinical Applications and Strategy</w:t>
      </w:r>
      <w:r>
        <w:rPr>
          <w:sz w:val="28"/>
          <w:szCs w:val="28"/>
        </w:rPr>
        <w:br/>
        <w:t>Private practices in aesthetics and orthopedics serve as ideal initial markets for therapy adoption. Physicians should prioritize patient-reported outcomes over complex biomarkers when assessing treatment success.</w:t>
      </w:r>
      <w:r>
        <w:rPr>
          <w:sz w:val="28"/>
          <w:szCs w:val="28"/>
        </w:rPr>
        <w:br/>
      </w:r>
      <w:r>
        <w:rPr>
          <w:sz w:val="28"/>
          <w:szCs w:val="28"/>
        </w:rPr>
        <w:br/>
      </w:r>
      <w:r>
        <w:rPr>
          <w:b/>
          <w:bCs/>
          <w:sz w:val="28"/>
          <w:szCs w:val="28"/>
        </w:rPr>
        <w:t>Safety and Administration Protocols</w:t>
      </w:r>
      <w:r>
        <w:rPr>
          <w:sz w:val="28"/>
          <w:szCs w:val="28"/>
        </w:rPr>
        <w:br/>
        <w:t>Proper handling requires strict temperature controls and avoiding mixtures with other stem cells to ensure efficacy. Active malignancy remains a contraindication for these specific regenerative therapies.</w:t>
      </w:r>
    </w:p>
    <w:p w14:paraId="0000000A" w14:textId="77777777" w:rsidR="00810E29" w:rsidRDefault="00810E29">
      <w:pPr>
        <w:rPr>
          <w:sz w:val="28"/>
          <w:szCs w:val="28"/>
        </w:rPr>
      </w:pPr>
    </w:p>
    <w:p w14:paraId="0000000B" w14:textId="77777777" w:rsidR="00810E29" w:rsidRDefault="00000000">
      <w:pPr>
        <w:rPr>
          <w:sz w:val="28"/>
          <w:szCs w:val="28"/>
        </w:rPr>
      </w:pPr>
      <w:r>
        <w:rPr>
          <w:i/>
          <w:iCs/>
          <w:sz w:val="28"/>
          <w:szCs w:val="28"/>
        </w:rPr>
        <w:lastRenderedPageBreak/>
        <w:t>Rate this Summary:</w:t>
      </w:r>
      <w:r>
        <w:rPr>
          <w:sz w:val="28"/>
          <w:szCs w:val="28"/>
        </w:rPr>
        <w:t xml:space="preserve"> </w:t>
      </w:r>
      <w:hyperlink r:id="rId14">
        <w:r>
          <w:rPr>
            <w:color w:val="1155CC"/>
            <w:sz w:val="28"/>
            <w:szCs w:val="28"/>
            <w:u w:val="single"/>
          </w:rPr>
          <w:t>Helpful</w:t>
        </w:r>
      </w:hyperlink>
      <w:r>
        <w:rPr>
          <w:sz w:val="28"/>
          <w:szCs w:val="28"/>
        </w:rPr>
        <w:t xml:space="preserve"> or </w:t>
      </w:r>
      <w:hyperlink r:id="rId15">
        <w:r>
          <w:rPr>
            <w:color w:val="1155CC"/>
            <w:sz w:val="28"/>
            <w:szCs w:val="28"/>
            <w:u w:val="single"/>
          </w:rPr>
          <w:t>Not Helpful</w:t>
        </w:r>
      </w:hyperlink>
    </w:p>
    <w:p w14:paraId="0000000C" w14:textId="77777777" w:rsidR="00810E29" w:rsidRDefault="00810E29"/>
    <w:p w14:paraId="0000000D" w14:textId="77777777" w:rsidR="00810E29" w:rsidRDefault="00810E29"/>
    <w:p w14:paraId="0000000E" w14:textId="77777777" w:rsidR="00810E29" w:rsidRDefault="00000000">
      <w:pPr>
        <w:pStyle w:val="Heading3"/>
        <w:rPr>
          <w:color w:val="303030"/>
        </w:rPr>
      </w:pPr>
      <w:bookmarkStart w:id="2" w:name="_1agrxd9a9aw9" w:colFirst="0" w:colLast="0"/>
      <w:bookmarkEnd w:id="2"/>
      <w:r>
        <w:t>Next steps</w:t>
      </w:r>
    </w:p>
    <w:p w14:paraId="0000000F" w14:textId="77777777" w:rsidR="00810E29" w:rsidRDefault="00000000">
      <w:pPr>
        <w:numPr>
          <w:ilvl w:val="0"/>
          <w:numId w:val="1"/>
        </w:numPr>
      </w:pPr>
      <w:r>
        <w:t>[Jeff Wiegers] Send study: Provide the scientific paper comparing Muse and regular MSC secretome to highlight cellular resilience factors.</w:t>
      </w:r>
    </w:p>
    <w:p w14:paraId="00000010" w14:textId="77777777" w:rsidR="00810E29" w:rsidRDefault="00000000">
      <w:pPr>
        <w:numPr>
          <w:ilvl w:val="0"/>
          <w:numId w:val="1"/>
        </w:numPr>
      </w:pPr>
      <w:r>
        <w:t>[MCI] Provide documentation: Supply third party testing data on SSEA3 positivity and cellular viability. Confirm if these findings are available for external use.</w:t>
      </w:r>
    </w:p>
    <w:p w14:paraId="00000011" w14:textId="77777777" w:rsidR="00810E29" w:rsidRDefault="00000000">
      <w:pPr>
        <w:numPr>
          <w:ilvl w:val="0"/>
          <w:numId w:val="1"/>
        </w:numPr>
      </w:pPr>
      <w:r>
        <w:t>[Timmi Stump] Contact Access: Discuss with Access the capability for the lab to hold purchased cell stock and ship on demand. Ensure storage requirements are met for large quantity orders.</w:t>
      </w:r>
    </w:p>
    <w:p w14:paraId="00000012" w14:textId="77777777" w:rsidR="00810E29" w:rsidRDefault="00000000">
      <w:pPr>
        <w:numPr>
          <w:ilvl w:val="0"/>
          <w:numId w:val="1"/>
        </w:numPr>
      </w:pPr>
      <w:r>
        <w:t>[Timmi Stump] Document Regulatory Compliance: Establish a process for documenting risk management for patients in states like Texas and Arizona under Right to Try regulations to move beyond verbal commitments.</w:t>
      </w:r>
    </w:p>
    <w:p w14:paraId="00000013" w14:textId="77777777" w:rsidR="00810E29" w:rsidRDefault="00810E29"/>
    <w:p w14:paraId="00000014" w14:textId="77777777" w:rsidR="00810E29" w:rsidRDefault="00810E29"/>
    <w:p w14:paraId="00000015" w14:textId="77777777" w:rsidR="00810E29" w:rsidRDefault="00000000">
      <w:pPr>
        <w:pStyle w:val="Heading3"/>
      </w:pPr>
      <w:bookmarkStart w:id="3" w:name="_ga7jgdhz79a4" w:colFirst="0" w:colLast="0"/>
      <w:bookmarkEnd w:id="3"/>
      <w:r>
        <w:t>Details</w:t>
      </w:r>
    </w:p>
    <w:p w14:paraId="00000016" w14:textId="2AB1366F" w:rsidR="00810E29" w:rsidRDefault="00000000">
      <w:pPr>
        <w:numPr>
          <w:ilvl w:val="0"/>
          <w:numId w:val="2"/>
        </w:numPr>
        <w:spacing w:after="160"/>
      </w:pPr>
      <w:r>
        <w:rPr>
          <w:b/>
          <w:bCs/>
        </w:rPr>
        <w:t>Introduction and Meeting Context</w:t>
      </w:r>
      <w:r>
        <w:t>: The meeting began with introductions and a review of the goals, specifically aimed at refreshing the team's understanding of Muse cells and their application (</w:t>
      </w:r>
      <w:hyperlink r:id="rId16" w:anchor="heading=h.a7r2zqk40ykc">
        <w:r>
          <w:rPr>
            <w:color w:val="1155CC"/>
            <w:u w:val="single"/>
          </w:rPr>
          <w:t>00:00:00</w:t>
        </w:r>
      </w:hyperlink>
      <w:r>
        <w:t>). Jeff Wiegers provided context for the discussion, noting that the team needed a functional overview of the science, clinical use cases, and safety protocols to better communicate these concepts to potential providers in private practice (</w:t>
      </w:r>
      <w:hyperlink r:id="rId17" w:anchor="heading=h.djzm10yb8nzj">
        <w:r>
          <w:rPr>
            <w:color w:val="1155CC"/>
            <w:u w:val="single"/>
          </w:rPr>
          <w:t>00:00:54</w:t>
        </w:r>
      </w:hyperlink>
      <w:r>
        <w:t>).</w:t>
      </w:r>
    </w:p>
    <w:p w14:paraId="00000017" w14:textId="7CF8F7E3" w:rsidR="00810E29" w:rsidRDefault="00000000">
      <w:pPr>
        <w:numPr>
          <w:ilvl w:val="0"/>
          <w:numId w:val="2"/>
        </w:numPr>
        <w:spacing w:after="160"/>
      </w:pPr>
      <w:r>
        <w:rPr>
          <w:b/>
          <w:bCs/>
        </w:rPr>
        <w:t>Scientific Definition and Characteristics of Muse Cells</w:t>
      </w:r>
      <w:r>
        <w:t>: Jeff Wiegers explained that Muse cells are undifferentiated stem cells with high potential, distinct from standard Mesenchymal Stem Cells (MSCs). Unlike typical MSCs, which act as mobile pharmacies and do not integrate into tissues, Muse cells possess three distinct pillars: they are pluripotent (can become any cell type), they exhibit superior immune survivability due to their "universal passport" proteins, and they actively track and migrate to sites of inflammation in the body (</w:t>
      </w:r>
      <w:hyperlink r:id="rId18" w:anchor="heading=h.xulmqx1zduuq">
        <w:r>
          <w:rPr>
            <w:color w:val="1155CC"/>
            <w:u w:val="single"/>
          </w:rPr>
          <w:t>00:02:43</w:t>
        </w:r>
      </w:hyperlink>
      <w:r>
        <w:t>) (</w:t>
      </w:r>
      <w:hyperlink r:id="rId19" w:anchor="heading=h.vd7z4bd5pf6c">
        <w:r>
          <w:rPr>
            <w:color w:val="1155CC"/>
            <w:u w:val="single"/>
          </w:rPr>
          <w:t>00:05:00</w:t>
        </w:r>
      </w:hyperlink>
      <w:r>
        <w:t>).</w:t>
      </w:r>
    </w:p>
    <w:p w14:paraId="00000018" w14:textId="56A9B09B" w:rsidR="00810E29" w:rsidRDefault="00000000">
      <w:pPr>
        <w:numPr>
          <w:ilvl w:val="0"/>
          <w:numId w:val="2"/>
        </w:numPr>
        <w:spacing w:after="160"/>
      </w:pPr>
      <w:r>
        <w:rPr>
          <w:b/>
          <w:bCs/>
        </w:rPr>
        <w:t>Clinical Target Markets</w:t>
      </w:r>
      <w:r>
        <w:t xml:space="preserve">: Discussion centered on identifying the most appropriate providers for adopting Muse cell therapy. Jeff Wiegers suggested targeting </w:t>
      </w:r>
      <w:r>
        <w:lastRenderedPageBreak/>
        <w:t>outpatient private practices, specifically orthopedics, aesthetics, plastic surgery, and longevity clinics, rather than hospital-based specialists like cardiologists. These sectors are characterized as "low-hanging fruit" where clinicians are more accustomed to trialing new, lower-risk modalities (</w:t>
      </w:r>
      <w:hyperlink r:id="rId20" w:anchor="heading=h.wt2tqerbii6j">
        <w:r>
          <w:rPr>
            <w:color w:val="1155CC"/>
            <w:u w:val="single"/>
          </w:rPr>
          <w:t>00:08:31</w:t>
        </w:r>
      </w:hyperlink>
      <w:r>
        <w:t>).</w:t>
      </w:r>
    </w:p>
    <w:p w14:paraId="00000019" w14:textId="70BD5642" w:rsidR="00810E29" w:rsidRDefault="00000000">
      <w:pPr>
        <w:numPr>
          <w:ilvl w:val="0"/>
          <w:numId w:val="2"/>
        </w:numPr>
        <w:spacing w:after="160"/>
      </w:pPr>
      <w:r>
        <w:rPr>
          <w:b/>
          <w:bCs/>
        </w:rPr>
        <w:t>Muse Cells Compared to Adipose-Derived Stem Cells</w:t>
      </w:r>
      <w:r>
        <w:t>: Addressing the difference between Muse cells and adipose-derived (fat) stem cells, Jeff Wiegers explained that while fat-derived cells are multipotent and beneficial for short-term signaling, they are not truly pluripotent and often lack long-term efficacy (</w:t>
      </w:r>
      <w:hyperlink r:id="rId21" w:anchor="heading=h.p62kliqcodf9">
        <w:r>
          <w:rPr>
            <w:color w:val="1155CC"/>
            <w:u w:val="single"/>
          </w:rPr>
          <w:t>00:10:47</w:t>
        </w:r>
      </w:hyperlink>
      <w:r>
        <w:t>). Adipose cells are considered "multipotent" and may struggle to adapt when transplanted into foreign environments (or "niches"), whereas Muse cells function effectively across diverse tissue environments, acting like highly trained operatives rather than temporary signalers (</w:t>
      </w:r>
      <w:hyperlink r:id="rId22" w:anchor="heading=h.b07ys66erp59">
        <w:r>
          <w:rPr>
            <w:color w:val="1155CC"/>
            <w:u w:val="single"/>
          </w:rPr>
          <w:t>00:11:54</w:t>
        </w:r>
      </w:hyperlink>
      <w:r>
        <w:t>).</w:t>
      </w:r>
    </w:p>
    <w:p w14:paraId="0000001A" w14:textId="5743F670" w:rsidR="00810E29" w:rsidRDefault="00000000">
      <w:pPr>
        <w:numPr>
          <w:ilvl w:val="0"/>
          <w:numId w:val="2"/>
        </w:numPr>
        <w:spacing w:after="160"/>
      </w:pPr>
      <w:r>
        <w:rPr>
          <w:b/>
          <w:bCs/>
        </w:rPr>
        <w:t>The Role of the Secretome</w:t>
      </w:r>
      <w:r>
        <w:t>: The discussion explored the concept of the "secretome," which refers to the proteins and exosomes secreted by cells. Jeff Wiegers described the secretome as a "bone broth" of signaling factors that cells naturally shower on their environment (</w:t>
      </w:r>
      <w:hyperlink r:id="rId23" w:anchor="heading=h.4papfhs0jo2m">
        <w:r>
          <w:rPr>
            <w:color w:val="1155CC"/>
            <w:u w:val="single"/>
          </w:rPr>
          <w:t>00:15:10</w:t>
        </w:r>
      </w:hyperlink>
      <w:r>
        <w:t>). While some practitioners utilize secretomes alongside cell therapies to reduce immune rejection and inflammation, research indicates that the Muse cell secretome contains higher concentrations of factors signaling cellular resilience compared to standard MSC secretomes (</w:t>
      </w:r>
      <w:hyperlink r:id="rId24" w:anchor="heading=h.6jli7anwduo">
        <w:r>
          <w:rPr>
            <w:color w:val="1155CC"/>
            <w:u w:val="single"/>
          </w:rPr>
          <w:t>00:16:08</w:t>
        </w:r>
      </w:hyperlink>
      <w:r>
        <w:t>).</w:t>
      </w:r>
    </w:p>
    <w:p w14:paraId="0000001B" w14:textId="37A52B50" w:rsidR="00810E29" w:rsidRDefault="00000000">
      <w:pPr>
        <w:numPr>
          <w:ilvl w:val="0"/>
          <w:numId w:val="2"/>
        </w:numPr>
        <w:spacing w:after="160"/>
      </w:pPr>
      <w:r>
        <w:rPr>
          <w:b/>
          <w:bCs/>
        </w:rPr>
        <w:t>Dosing and Administration Protocols</w:t>
      </w:r>
      <w:r>
        <w:t>: Participants discussed current dosing standards for Muse cell therapies. Jeff Wiegers noted that while Japanese clinical trials used a 15 million cell anchor point, 20 million is generally the current minimum dose, with 10 million cells often used for orthopedic injections. There is no phase three dosing trial yet, so practitioners should view these dosages as a collaborative decision based on the patient's condition and budget, with 100 million being a maximum dose (</w:t>
      </w:r>
      <w:hyperlink r:id="rId25" w:anchor="heading=h.r2t281uzffom">
        <w:r>
          <w:rPr>
            <w:color w:val="1155CC"/>
            <w:u w:val="single"/>
          </w:rPr>
          <w:t>00:20:17</w:t>
        </w:r>
      </w:hyperlink>
      <w:r>
        <w:t>).</w:t>
      </w:r>
    </w:p>
    <w:p w14:paraId="0000001C" w14:textId="448C23BB" w:rsidR="00810E29" w:rsidRDefault="00000000">
      <w:pPr>
        <w:numPr>
          <w:ilvl w:val="0"/>
          <w:numId w:val="2"/>
        </w:numPr>
        <w:spacing w:after="160"/>
      </w:pPr>
      <w:r>
        <w:rPr>
          <w:b/>
          <w:bCs/>
        </w:rPr>
        <w:t>Intravenous Administration Versus Local Injection</w:t>
      </w:r>
      <w:r>
        <w:t>: A key debate emerged regarding whether local (joint/tissue) injections are more effective than intravenous (IV) administration (</w:t>
      </w:r>
      <w:hyperlink r:id="rId26" w:anchor="heading=h.nvzq0jfhek9t">
        <w:r>
          <w:rPr>
            <w:color w:val="1155CC"/>
            <w:u w:val="single"/>
          </w:rPr>
          <w:t>00:22:27</w:t>
        </w:r>
      </w:hyperlink>
      <w:r>
        <w:t>). Jeff Wiegers highlighted that while some data supports local injection for specific site improvement, systemic IV administration may be necessary for broad inflammation. A combined approach, utilizing both local injection for immediate site issues and IV for systemic support, was discussed as a potential strategy (</w:t>
      </w:r>
      <w:hyperlink r:id="rId27" w:anchor="heading=h.cqy6gxtrjhhp">
        <w:r>
          <w:rPr>
            <w:color w:val="1155CC"/>
            <w:u w:val="single"/>
          </w:rPr>
          <w:t>00:23:38</w:t>
        </w:r>
      </w:hyperlink>
      <w:r>
        <w:t>).</w:t>
      </w:r>
    </w:p>
    <w:p w14:paraId="0000001D" w14:textId="2AC39B1A" w:rsidR="00810E29" w:rsidRDefault="00000000">
      <w:pPr>
        <w:numPr>
          <w:ilvl w:val="0"/>
          <w:numId w:val="2"/>
        </w:numPr>
        <w:spacing w:after="160"/>
      </w:pPr>
      <w:r>
        <w:rPr>
          <w:b/>
          <w:bCs/>
        </w:rPr>
        <w:t>Measuring Clinical Outcomes</w:t>
      </w:r>
      <w:r>
        <w:t xml:space="preserve">: Regarding patient tracking, Jeff Wiegers emphasized that subjective patient reports—"how do you feel"—remain the most reliable metric for tracking success in longevity and wellness contexts. While </w:t>
      </w:r>
      <w:r>
        <w:lastRenderedPageBreak/>
        <w:t>tracking biomarkers or aging clocks is possible, the variability in patient health conditions and the diverse systemic effects of treatment make self-reported improvement the most significant indicator for physicians (</w:t>
      </w:r>
      <w:hyperlink r:id="rId28" w:anchor="heading=h.465fs52fqfy0">
        <w:r>
          <w:rPr>
            <w:color w:val="1155CC"/>
            <w:u w:val="single"/>
          </w:rPr>
          <w:t>00:27:44</w:t>
        </w:r>
      </w:hyperlink>
      <w:r>
        <w:t>).</w:t>
      </w:r>
    </w:p>
    <w:p w14:paraId="0000001E" w14:textId="19A1843B" w:rsidR="00810E29" w:rsidRDefault="00000000">
      <w:pPr>
        <w:numPr>
          <w:ilvl w:val="0"/>
          <w:numId w:val="2"/>
        </w:numPr>
        <w:spacing w:after="160"/>
      </w:pPr>
      <w:r>
        <w:rPr>
          <w:b/>
          <w:bCs/>
        </w:rPr>
        <w:t>Logistics, Storage, and Thawing</w:t>
      </w:r>
      <w:r>
        <w:t>: The group reviewed the technical requirements for handling Muse cells, including sourcing from umbilical cord tissue and the necessity of storing cells at minus 80 degrees Celsius (</w:t>
      </w:r>
      <w:hyperlink r:id="rId29" w:anchor="heading=h.jcw0hvieomiw">
        <w:r>
          <w:rPr>
            <w:color w:val="1155CC"/>
            <w:u w:val="single"/>
          </w:rPr>
          <w:t>00:29:54</w:t>
        </w:r>
      </w:hyperlink>
      <w:r>
        <w:t>) (</w:t>
      </w:r>
      <w:hyperlink r:id="rId30" w:anchor="heading=h.4m8rzi59p5nb">
        <w:r>
          <w:rPr>
            <w:color w:val="1155CC"/>
            <w:u w:val="single"/>
          </w:rPr>
          <w:t>00:32:54</w:t>
        </w:r>
      </w:hyperlink>
      <w:r>
        <w:t>). Jeff Wiegers detailed the thawing protocol, which requires a warm water bath at approximately 37 degrees Celsius to prevent cell membrane rupture due to ice crystal formation (</w:t>
      </w:r>
      <w:hyperlink r:id="rId31" w:anchor="heading=h.syi97hrlpdrd">
        <w:r>
          <w:rPr>
            <w:color w:val="1155CC"/>
            <w:u w:val="single"/>
          </w:rPr>
          <w:t>00:30:58</w:t>
        </w:r>
      </w:hyperlink>
      <w:r>
        <w:t>). It is also recommended to administer cells promptly after thawing due to the inclusion of the cryoprotectant DMSO, which can act as an irritant (</w:t>
      </w:r>
      <w:hyperlink r:id="rId32" w:anchor="heading=h.me9nbmd8c72u">
        <w:r>
          <w:rPr>
            <w:color w:val="1155CC"/>
            <w:u w:val="single"/>
          </w:rPr>
          <w:t>00:32:04</w:t>
        </w:r>
      </w:hyperlink>
      <w:r>
        <w:t>) (</w:t>
      </w:r>
      <w:hyperlink r:id="rId33" w:anchor="heading=h.f09nuywwpq07">
        <w:r>
          <w:rPr>
            <w:color w:val="1155CC"/>
            <w:u w:val="single"/>
          </w:rPr>
          <w:t>00:34:47</w:t>
        </w:r>
      </w:hyperlink>
      <w:r>
        <w:t>).</w:t>
      </w:r>
    </w:p>
    <w:p w14:paraId="0000001F" w14:textId="424A3EA7" w:rsidR="00810E29" w:rsidRDefault="00000000">
      <w:pPr>
        <w:numPr>
          <w:ilvl w:val="0"/>
          <w:numId w:val="2"/>
        </w:numPr>
        <w:spacing w:after="160"/>
      </w:pPr>
      <w:r>
        <w:rPr>
          <w:b/>
          <w:bCs/>
        </w:rPr>
        <w:t>Quality Control and Sourcing</w:t>
      </w:r>
      <w:r>
        <w:t>: Angela Arbolida and Jeff Wiegers confirmed that the cells are sourced from screened umbilical cord tissue, specifically from USA-based tissue banks following C-section births. Regarding quality control, third-party testing currently shows 80 to 90 percent viability in products, with SSEA3 positivity—the marker used to confirm the presence of Muse cells—consistently above 95 percent among manufacturers (</w:t>
      </w:r>
      <w:hyperlink r:id="rId34" w:anchor="heading=h.jcw0hvieomiw">
        <w:r>
          <w:rPr>
            <w:color w:val="1155CC"/>
            <w:u w:val="single"/>
          </w:rPr>
          <w:t>00:29:54</w:t>
        </w:r>
      </w:hyperlink>
      <w:r>
        <w:t>) (</w:t>
      </w:r>
      <w:hyperlink r:id="rId35" w:anchor="heading=h.rjnht9ld0wtt">
        <w:r>
          <w:rPr>
            <w:color w:val="1155CC"/>
            <w:u w:val="single"/>
          </w:rPr>
          <w:t>00:36:43</w:t>
        </w:r>
      </w:hyperlink>
      <w:r>
        <w:t>).</w:t>
      </w:r>
    </w:p>
    <w:p w14:paraId="00000020" w14:textId="020BB77C" w:rsidR="00810E29" w:rsidRDefault="00000000">
      <w:pPr>
        <w:numPr>
          <w:ilvl w:val="0"/>
          <w:numId w:val="2"/>
        </w:numPr>
        <w:spacing w:after="160"/>
      </w:pPr>
      <w:r>
        <w:rPr>
          <w:b/>
          <w:bCs/>
        </w:rPr>
        <w:t>Contraindications and Cancer Concerns</w:t>
      </w:r>
      <w:r>
        <w:t>: Addressing the risk of cancer, Jeff Wiegers clarified that the specific characteristics of Muse cells, including the "let-7" and "lin-28" pathways, act as natural anti-cancer mechanisms rather than promoting tumor growth (</w:t>
      </w:r>
      <w:hyperlink r:id="rId36" w:anchor="heading=h.m24jq23q3chd">
        <w:r>
          <w:rPr>
            <w:color w:val="1155CC"/>
            <w:u w:val="single"/>
          </w:rPr>
          <w:t>00:37:47</w:t>
        </w:r>
      </w:hyperlink>
      <w:r>
        <w:t>). While the team advises against using therapy in patients with active malignancy, there is no evidence that natural, non-manipulated Muse cells cause cancer; in fact, there is emerging, though unpublished, research suggesting these cells might help rejuvenate the immune system's fight against cancer (</w:t>
      </w:r>
      <w:hyperlink r:id="rId37" w:anchor="heading=h.lgba9kn826xs">
        <w:r>
          <w:rPr>
            <w:color w:val="1155CC"/>
            <w:u w:val="single"/>
          </w:rPr>
          <w:t>00:40:00</w:t>
        </w:r>
      </w:hyperlink>
      <w:r>
        <w:t>).</w:t>
      </w:r>
    </w:p>
    <w:p w14:paraId="00000021" w14:textId="01382B61" w:rsidR="00810E29" w:rsidRDefault="00000000">
      <w:pPr>
        <w:numPr>
          <w:ilvl w:val="0"/>
          <w:numId w:val="2"/>
        </w:numPr>
        <w:spacing w:after="160"/>
      </w:pPr>
      <w:r>
        <w:rPr>
          <w:b/>
          <w:bCs/>
        </w:rPr>
        <w:t>Autoimmune Conditions and Flare-ups</w:t>
      </w:r>
      <w:r>
        <w:t>: For patients with active autoimmune issues, Jeff Wiegers warned that administering cell therapy into an already "hot" (inflamed) environment can cause temporary flare-ups. To mitigate this, clinicians might consider using exosome therapies to lower overall inflammation prior to cell administration, or ensuring the patient's gut health and underlying conditions are addressed before introducing the cells (</w:t>
      </w:r>
      <w:hyperlink r:id="rId38" w:anchor="heading=h.ofmc46rfkxj2">
        <w:r>
          <w:rPr>
            <w:color w:val="1155CC"/>
            <w:u w:val="single"/>
          </w:rPr>
          <w:t>00:42:01</w:t>
        </w:r>
      </w:hyperlink>
      <w:r>
        <w:t>).</w:t>
      </w:r>
    </w:p>
    <w:p w14:paraId="00000022" w14:textId="73BE4408" w:rsidR="00810E29" w:rsidRDefault="00000000">
      <w:pPr>
        <w:numPr>
          <w:ilvl w:val="0"/>
          <w:numId w:val="2"/>
        </w:numPr>
        <w:spacing w:after="160"/>
      </w:pPr>
      <w:r>
        <w:rPr>
          <w:b/>
          <w:bCs/>
        </w:rPr>
        <w:t>Risks of Counterfeit or Mixed Products</w:t>
      </w:r>
      <w:r>
        <w:t>: The participants discussed the dangers of using non-Muse MSC products or mixing MSCs with Muse cells (</w:t>
      </w:r>
      <w:hyperlink r:id="rId39" w:anchor="heading=h.37peimle3nqd">
        <w:r>
          <w:rPr>
            <w:color w:val="1155CC"/>
            <w:u w:val="single"/>
          </w:rPr>
          <w:t>00:44:16</w:t>
        </w:r>
      </w:hyperlink>
      <w:r>
        <w:t>). Jeff Wiegers explained that regular MSCs have a strong anti-inflammatory effect that can mask the inflammatory signals that Muse cells use to navigate the body. Consequently, mixing them can cause Muse cells to circulate aimlessly without reaching the intended injury site, rendering the therapy ineffective (</w:t>
      </w:r>
      <w:hyperlink r:id="rId40" w:anchor="heading=h.o3db9ry1wc3c">
        <w:r>
          <w:rPr>
            <w:color w:val="1155CC"/>
            <w:u w:val="single"/>
          </w:rPr>
          <w:t>00:46:25</w:t>
        </w:r>
      </w:hyperlink>
      <w:r>
        <w:t>).</w:t>
      </w:r>
    </w:p>
    <w:p w14:paraId="00000023" w14:textId="3F16D85D" w:rsidR="00810E29" w:rsidRDefault="00000000">
      <w:pPr>
        <w:numPr>
          <w:ilvl w:val="0"/>
          <w:numId w:val="2"/>
        </w:numPr>
        <w:spacing w:after="160"/>
      </w:pPr>
      <w:r>
        <w:rPr>
          <w:b/>
          <w:bCs/>
        </w:rPr>
        <w:lastRenderedPageBreak/>
        <w:t>Exosome Banking and Future Outlook</w:t>
      </w:r>
      <w:r>
        <w:t>: Angela Arbolida inquired about exosome banking services like Acorn, which utilize hair follicles (</w:t>
      </w:r>
      <w:hyperlink r:id="rId41" w:anchor="heading=h.axagdy31j5ic">
        <w:r>
          <w:rPr>
            <w:color w:val="1155CC"/>
            <w:u w:val="single"/>
          </w:rPr>
          <w:t>00:47:27</w:t>
        </w:r>
      </w:hyperlink>
      <w:r>
        <w:t>). Jeff Wiegers noted that for exosome products, there is no clinical advantage to using a patient's own tissue versus an off-the-shelf, high-quality, young donor-derived product, as the body does not distinguish the origin of these non-living factors (</w:t>
      </w:r>
      <w:hyperlink r:id="rId42" w:anchor="heading=h.vik7y5y1pyzi">
        <w:r>
          <w:rPr>
            <w:color w:val="1155CC"/>
            <w:u w:val="single"/>
          </w:rPr>
          <w:t>00:48:14</w:t>
        </w:r>
      </w:hyperlink>
      <w:r>
        <w:t>).</w:t>
      </w:r>
    </w:p>
    <w:p w14:paraId="00000024" w14:textId="25311BAC" w:rsidR="00810E29" w:rsidRDefault="00000000">
      <w:pPr>
        <w:numPr>
          <w:ilvl w:val="0"/>
          <w:numId w:val="2"/>
        </w:numPr>
        <w:spacing w:after="160"/>
      </w:pPr>
      <w:r>
        <w:rPr>
          <w:b/>
          <w:bCs/>
        </w:rPr>
        <w:t>Regulatory Landscape and Future Legislation</w:t>
      </w:r>
      <w:r>
        <w:t>: The meeting concluded with a discussion on the evolving legal status of regenerative medicine. Timmi Stump asked about future legislation in states like Texas and Arizona. Jeff Wiegers noted that while the legal environment mirrors the early, non-enforced status of marijuana laws, practitioners should consult state laws and legal counsel directly, as regulations vary significantly by region and "Right to Try" provisions (</w:t>
      </w:r>
      <w:hyperlink r:id="rId43" w:anchor="heading=h.xsvss6fnwtuu">
        <w:r>
          <w:rPr>
            <w:color w:val="1155CC"/>
            <w:u w:val="single"/>
          </w:rPr>
          <w:t>00:50:34</w:t>
        </w:r>
      </w:hyperlink>
      <w:r>
        <w:t>).</w:t>
      </w:r>
    </w:p>
    <w:p w14:paraId="00000025" w14:textId="77777777" w:rsidR="00810E29" w:rsidRDefault="00810E29"/>
    <w:p w14:paraId="00000026" w14:textId="77777777" w:rsidR="00810E29" w:rsidRDefault="00810E29"/>
    <w:p w14:paraId="00000027" w14:textId="77777777" w:rsidR="00810E29" w:rsidRDefault="00000000">
      <w:pPr>
        <w:rPr>
          <w:i/>
          <w:iCs/>
          <w:color w:val="747775"/>
        </w:rPr>
      </w:pPr>
      <w:r>
        <w:rPr>
          <w:i/>
          <w:iCs/>
          <w:color w:val="747775"/>
        </w:rPr>
        <w:t xml:space="preserve">You should review Gemini's notes to make sure they're accurate. </w:t>
      </w:r>
      <w:hyperlink r:id="rId44">
        <w:r>
          <w:rPr>
            <w:i/>
            <w:iCs/>
            <w:color w:val="1155CC"/>
            <w:u w:val="single"/>
          </w:rPr>
          <w:t>Get tips and learn how Gemini takes notes</w:t>
        </w:r>
      </w:hyperlink>
    </w:p>
    <w:p w14:paraId="00000028" w14:textId="77777777" w:rsidR="00810E29" w:rsidRDefault="00000000">
      <w:pPr>
        <w:rPr>
          <w:i/>
          <w:iCs/>
          <w:color w:val="747775"/>
        </w:rPr>
      </w:pPr>
      <w:r>
        <w:rPr>
          <w:i/>
          <w:iCs/>
          <w:color w:val="747775"/>
        </w:rPr>
        <w:t xml:space="preserve">How is the quality of </w:t>
      </w:r>
      <w:r>
        <w:rPr>
          <w:b/>
          <w:bCs/>
          <w:i/>
          <w:iCs/>
          <w:color w:val="747775"/>
        </w:rPr>
        <w:t>these specific notes?</w:t>
      </w:r>
      <w:r>
        <w:rPr>
          <w:i/>
          <w:iCs/>
          <w:color w:val="747775"/>
        </w:rPr>
        <w:t xml:space="preserve"> </w:t>
      </w:r>
      <w:hyperlink r:id="rId45">
        <w:r>
          <w:rPr>
            <w:i/>
            <w:iCs/>
            <w:color w:val="1155CC"/>
            <w:u w:val="single"/>
          </w:rPr>
          <w:t>Take a short survey</w:t>
        </w:r>
      </w:hyperlink>
      <w:r>
        <w:rPr>
          <w:i/>
          <w:iCs/>
          <w:color w:val="747775"/>
        </w:rPr>
        <w:t xml:space="preserve"> to let us know your feedback, including how helpful the notes were for your needs.</w:t>
      </w:r>
    </w:p>
    <w:sectPr w:rsidR="00810E2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819FC08-9AEA-3C4D-9763-ADC8D38283EA}"/>
  </w:font>
  <w:font w:name="Roboto">
    <w:panose1 w:val="02000000000000000000"/>
    <w:charset w:val="00"/>
    <w:family w:val="auto"/>
    <w:pitch w:val="variable"/>
    <w:sig w:usb0="E0000AFF" w:usb1="5000217F" w:usb2="00000021" w:usb3="00000000" w:csb0="0000019F" w:csb1="00000000"/>
    <w:embedRegular r:id="rId2" w:fontKey="{32AD86C9-FFB6-6144-929A-59B7EC8E82FC}"/>
    <w:embedBold r:id="rId3" w:fontKey="{59C12E5A-FA1A-D64A-AB20-F1DDC8443592}"/>
    <w:embedItalic r:id="rId4" w:fontKey="{837925B4-45CA-2A4E-8955-AEE1000FEE8E}"/>
    <w:embedBoldItalic r:id="rId5" w:fontKey="{75304B4F-5457-4444-986E-A9BC5F050C58}"/>
  </w:font>
  <w:font w:name="Roboto Medium">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embedRegular r:id="rId6" w:fontKey="{9F4E0875-3D6D-7C4F-BEC2-F83EF5E4EB5A}"/>
  </w:font>
  <w:font w:name="Roboto SemiBold">
    <w:charset w:val="00"/>
    <w:family w:val="auto"/>
    <w:pitch w:val="default"/>
    <w:embedRegular r:id="rId7" w:fontKey="{F7545C27-6681-144F-B6E5-F71078C2CC03}"/>
  </w:font>
  <w:font w:name="Calibri">
    <w:panose1 w:val="020F0502020204030204"/>
    <w:charset w:val="00"/>
    <w:family w:val="modern"/>
    <w:pitch w:val="variable"/>
    <w:sig w:usb0="00000003" w:usb1="00000000" w:usb2="00000000" w:usb3="00000000" w:csb0="00000001" w:csb1="00000000"/>
    <w:embedRegular r:id="rId8" w:fontKey="{64FF5479-FD47-F948-B527-7BE0D9CF5F6F}"/>
  </w:font>
  <w:font w:name="Cambria">
    <w:panose1 w:val="02040503050406030204"/>
    <w:charset w:val="00"/>
    <w:family w:val="roman"/>
    <w:notTrueType/>
    <w:pitch w:val="default"/>
    <w:embedRegular r:id="rId9" w:fontKey="{62BB1B58-F3C8-DA4C-BBB0-3372E674B0F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A6621"/>
    <w:multiLevelType w:val="multilevel"/>
    <w:tmpl w:val="B09CD6D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5EFA54B3"/>
    <w:multiLevelType w:val="multilevel"/>
    <w:tmpl w:val="4912CD5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489324939">
    <w:abstractNumId w:val="0"/>
  </w:num>
  <w:num w:numId="2" w16cid:durableId="435372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E29"/>
    <w:rsid w:val="001E2CC4"/>
    <w:rsid w:val="00750EF5"/>
    <w:rsid w:val="00810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7EB674"/>
  <w15:docId w15:val="{3D197647-1CDB-D54B-AEA9-428E7C85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color w:val="303030"/>
        <w:sz w:val="24"/>
        <w:szCs w:val="24"/>
        <w:lang w:val="en" w:eastAsia="en-US" w:bidi="ar-SA"/>
      </w:rPr>
    </w:rPrDefault>
    <w:pPrDefault>
      <w:pPr>
        <w:spacing w:after="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60" w:line="360" w:lineRule="auto"/>
      <w:outlineLvl w:val="0"/>
    </w:pPr>
    <w:rPr>
      <w:rFonts w:ascii="Roboto Medium" w:eastAsia="Roboto Medium" w:hAnsi="Roboto Medium" w:cs="Roboto Medium"/>
      <w:color w:val="1F1F1F"/>
      <w:sz w:val="40"/>
      <w:szCs w:val="40"/>
    </w:rPr>
  </w:style>
  <w:style w:type="paragraph" w:styleId="Heading2">
    <w:name w:val="heading 2"/>
    <w:basedOn w:val="Normal"/>
    <w:next w:val="Normal"/>
    <w:uiPriority w:val="9"/>
    <w:unhideWhenUsed/>
    <w:qFormat/>
    <w:pPr>
      <w:keepNext/>
      <w:keepLines/>
      <w:spacing w:before="240" w:after="320"/>
      <w:outlineLvl w:val="1"/>
    </w:pPr>
    <w:rPr>
      <w:rFonts w:ascii="Roboto Medium" w:eastAsia="Roboto Medium" w:hAnsi="Roboto Medium" w:cs="Roboto Medium"/>
      <w:color w:val="1F1F1F"/>
      <w:sz w:val="64"/>
      <w:szCs w:val="64"/>
    </w:rPr>
  </w:style>
  <w:style w:type="paragraph" w:styleId="Heading3">
    <w:name w:val="heading 3"/>
    <w:basedOn w:val="Normal"/>
    <w:next w:val="Normal"/>
    <w:uiPriority w:val="9"/>
    <w:unhideWhenUsed/>
    <w:qFormat/>
    <w:pPr>
      <w:keepNext/>
      <w:keepLines/>
      <w:spacing w:after="160" w:line="360" w:lineRule="auto"/>
      <w:outlineLvl w:val="2"/>
    </w:pPr>
    <w:rPr>
      <w:rFonts w:ascii="Roboto Medium" w:eastAsia="Roboto Medium" w:hAnsi="Roboto Medium" w:cs="Roboto Medium"/>
      <w:color w:val="1F1F1F"/>
      <w:sz w:val="40"/>
      <w:szCs w:val="40"/>
    </w:rPr>
  </w:style>
  <w:style w:type="paragraph" w:styleId="Heading4">
    <w:name w:val="heading 4"/>
    <w:basedOn w:val="Normal"/>
    <w:next w:val="Normal"/>
    <w:uiPriority w:val="9"/>
    <w:semiHidden/>
    <w:unhideWhenUsed/>
    <w:qFormat/>
    <w:pPr>
      <w:keepNext/>
      <w:keepLines/>
      <w:spacing w:after="0"/>
      <w:outlineLvl w:val="3"/>
    </w:pPr>
    <w:rPr>
      <w:sz w:val="28"/>
      <w:szCs w:val="28"/>
    </w:rPr>
  </w:style>
  <w:style w:type="paragraph" w:styleId="Heading5">
    <w:name w:val="heading 5"/>
    <w:basedOn w:val="Normal"/>
    <w:next w:val="Normal"/>
    <w:uiPriority w:val="9"/>
    <w:semiHidden/>
    <w:unhideWhenUsed/>
    <w:qFormat/>
    <w:pPr>
      <w:keepNext/>
      <w:keepLines/>
      <w:spacing w:before="24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40" w:after="320"/>
    </w:pPr>
    <w:rPr>
      <w:rFonts w:ascii="Roboto Medium" w:eastAsia="Roboto Medium" w:hAnsi="Roboto Medium" w:cs="Roboto Medium"/>
      <w:color w:val="1F1F1F"/>
      <w:sz w:val="64"/>
      <w:szCs w:val="64"/>
    </w:rPr>
  </w:style>
  <w:style w:type="paragraph" w:styleId="Subtitle">
    <w:name w:val="Subtitle"/>
    <w:basedOn w:val="Normal"/>
    <w:next w:val="Normal"/>
    <w:uiPriority w:val="11"/>
    <w:qFormat/>
    <w:pPr>
      <w:keepNext/>
      <w:keepLines/>
      <w:spacing w:after="0"/>
    </w:pPr>
    <w:rPr>
      <w:rFonts w:ascii="Roboto SemiBold" w:eastAsia="Roboto SemiBold" w:hAnsi="Roboto SemiBold" w:cs="Roboto SemiBol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rive.google.com/file/d/1I_GvU6BEF5YHcx23QaTjW_abO-DJPXaV/view?usp=drive_web" TargetMode="External"/><Relationship Id="rId18" Type="http://schemas.openxmlformats.org/officeDocument/2006/relationships/hyperlink" Target="file:////Users/angelaarbolida/Downloads/%3ftab=t.vecydnbgpf7r" TargetMode="External"/><Relationship Id="rId26" Type="http://schemas.openxmlformats.org/officeDocument/2006/relationships/hyperlink" Target="file:////Users/angelaarbolida/Downloads/%3ftab=t.vecydnbgpf7r" TargetMode="External"/><Relationship Id="rId39" Type="http://schemas.openxmlformats.org/officeDocument/2006/relationships/hyperlink" Target="file:////Users/angelaarbolida/Downloads/%3ftab=t.vecydnbgpf7r" TargetMode="External"/><Relationship Id="rId21" Type="http://schemas.openxmlformats.org/officeDocument/2006/relationships/hyperlink" Target="file:////Users/angelaarbolida/Downloads/%3ftab=t.vecydnbgpf7r" TargetMode="External"/><Relationship Id="rId34" Type="http://schemas.openxmlformats.org/officeDocument/2006/relationships/hyperlink" Target="file:////Users/angelaarbolida/Downloads/%3ftab=t.vecydnbgpf7r" TargetMode="External"/><Relationship Id="rId42" Type="http://schemas.openxmlformats.org/officeDocument/2006/relationships/hyperlink" Target="file:////Users/angelaarbolida/Downloads/%3ftab=t.vecydnbgpf7r" TargetMode="External"/><Relationship Id="rId47" Type="http://schemas.openxmlformats.org/officeDocument/2006/relationships/theme" Target="theme/theme1.xml"/><Relationship Id="rId7" Type="http://schemas.openxmlformats.org/officeDocument/2006/relationships/hyperlink" Target="mailto:ghudson@vesaliuslabs.com" TargetMode="External"/><Relationship Id="rId2" Type="http://schemas.openxmlformats.org/officeDocument/2006/relationships/styles" Target="styles.xml"/><Relationship Id="rId16" Type="http://schemas.openxmlformats.org/officeDocument/2006/relationships/hyperlink" Target="file:////Users/angelaarbolida/Downloads/%3ftab=t.vecydnbgpf7r" TargetMode="External"/><Relationship Id="rId29" Type="http://schemas.openxmlformats.org/officeDocument/2006/relationships/hyperlink" Target="file:////Users/angelaarbolida/Downloads/%3ftab=t.vecydnbgpf7r" TargetMode="External"/><Relationship Id="rId1" Type="http://schemas.openxmlformats.org/officeDocument/2006/relationships/numbering" Target="numbering.xml"/><Relationship Id="rId6" Type="http://schemas.openxmlformats.org/officeDocument/2006/relationships/hyperlink" Target="mailto:tgarnett@vesaliuslabs.com" TargetMode="External"/><Relationship Id="rId11" Type="http://schemas.openxmlformats.org/officeDocument/2006/relationships/hyperlink" Target="https://calendar.google.com/calendar/event?eid=NnE2aDVqbGg4cmRnOWpxMWJ1ZWc1YjBxbHUgYWFyYm9saWRhQHZlc2FsaXVzbGFicy5jb20" TargetMode="External"/><Relationship Id="rId24" Type="http://schemas.openxmlformats.org/officeDocument/2006/relationships/hyperlink" Target="file:////Users/angelaarbolida/Downloads/%3ftab=t.vecydnbgpf7r" TargetMode="External"/><Relationship Id="rId32" Type="http://schemas.openxmlformats.org/officeDocument/2006/relationships/hyperlink" Target="file:////Users/angelaarbolida/Downloads/%3ftab=t.vecydnbgpf7r" TargetMode="External"/><Relationship Id="rId37" Type="http://schemas.openxmlformats.org/officeDocument/2006/relationships/hyperlink" Target="file:////Users/angelaarbolida/Downloads/%3ftab=t.vecydnbgpf7r" TargetMode="External"/><Relationship Id="rId40" Type="http://schemas.openxmlformats.org/officeDocument/2006/relationships/hyperlink" Target="file:////Users/angelaarbolida/Downloads/%3ftab=t.vecydnbgpf7r" TargetMode="External"/><Relationship Id="rId45" Type="http://schemas.openxmlformats.org/officeDocument/2006/relationships/hyperlink" Target="https://google.qualtrics.com/jfe/form/SV_9vK3UZEaIQKKE7A?confid=NmFD0g4chyo4XHnNV0jIDxIXOAIIigIgABgBCA&amp;detailid=standard&amp;screenshot=false" TargetMode="External"/><Relationship Id="rId5" Type="http://schemas.openxmlformats.org/officeDocument/2006/relationships/hyperlink" Target="mailto:aarbolida@vesaliuslabs.com" TargetMode="External"/><Relationship Id="rId15" Type="http://schemas.openxmlformats.org/officeDocument/2006/relationships/hyperlink" Target="https://google.qualtrics.com/jfe/form/SV_4YkxrBAaiTVqYCi?isGoogler=false&amp;isHelpful=false" TargetMode="External"/><Relationship Id="rId23" Type="http://schemas.openxmlformats.org/officeDocument/2006/relationships/hyperlink" Target="file:////Users/angelaarbolida/Downloads/%3ftab=t.vecydnbgpf7r" TargetMode="External"/><Relationship Id="rId28" Type="http://schemas.openxmlformats.org/officeDocument/2006/relationships/hyperlink" Target="file:////Users/angelaarbolida/Downloads/%3ftab=t.vecydnbgpf7r" TargetMode="External"/><Relationship Id="rId36" Type="http://schemas.openxmlformats.org/officeDocument/2006/relationships/hyperlink" Target="file:////Users/angelaarbolida/Downloads/%3ftab=t.vecydnbgpf7r" TargetMode="External"/><Relationship Id="rId10" Type="http://schemas.openxmlformats.org/officeDocument/2006/relationships/hyperlink" Target="mailto:jlarson@vesaliuslabs.com" TargetMode="External"/><Relationship Id="rId19" Type="http://schemas.openxmlformats.org/officeDocument/2006/relationships/hyperlink" Target="file:////Users/angelaarbolida/Downloads/%3ftab=t.vecydnbgpf7r" TargetMode="External"/><Relationship Id="rId31" Type="http://schemas.openxmlformats.org/officeDocument/2006/relationships/hyperlink" Target="file:////Users/angelaarbolida/Downloads/%3ftab=t.vecydnbgpf7r" TargetMode="External"/><Relationship Id="rId44" Type="http://schemas.openxmlformats.org/officeDocument/2006/relationships/hyperlink" Target="https://support.google.com/meet/answer/14754931" TargetMode="External"/><Relationship Id="rId4" Type="http://schemas.openxmlformats.org/officeDocument/2006/relationships/webSettings" Target="webSettings.xml"/><Relationship Id="rId9" Type="http://schemas.openxmlformats.org/officeDocument/2006/relationships/hyperlink" Target="mailto:jeffrey.wiegers@musecellinnovations.com" TargetMode="External"/><Relationship Id="rId14" Type="http://schemas.openxmlformats.org/officeDocument/2006/relationships/hyperlink" Target="https://google.qualtrics.com/jfe/form/SV_4YkxrBAaiTVqYCi?isGoogler=false&amp;isHelpful=true" TargetMode="External"/><Relationship Id="rId22" Type="http://schemas.openxmlformats.org/officeDocument/2006/relationships/hyperlink" Target="file:////Users/angelaarbolida/Downloads/%3ftab=t.vecydnbgpf7r" TargetMode="External"/><Relationship Id="rId27" Type="http://schemas.openxmlformats.org/officeDocument/2006/relationships/hyperlink" Target="file:////Users/angelaarbolida/Downloads/%3ftab=t.vecydnbgpf7r" TargetMode="External"/><Relationship Id="rId30" Type="http://schemas.openxmlformats.org/officeDocument/2006/relationships/hyperlink" Target="file:////Users/angelaarbolida/Downloads/%3ftab=t.vecydnbgpf7r" TargetMode="External"/><Relationship Id="rId35" Type="http://schemas.openxmlformats.org/officeDocument/2006/relationships/hyperlink" Target="file:////Users/angelaarbolida/Downloads/%3ftab=t.vecydnbgpf7r" TargetMode="External"/><Relationship Id="rId43" Type="http://schemas.openxmlformats.org/officeDocument/2006/relationships/hyperlink" Target="file:////Users/angelaarbolida/Downloads/%3ftab=t.vecydnbgpf7r" TargetMode="External"/><Relationship Id="rId8" Type="http://schemas.openxmlformats.org/officeDocument/2006/relationships/hyperlink" Target="mailto:tstump@vesaliuslabs.com" TargetMode="External"/><Relationship Id="rId3" Type="http://schemas.openxmlformats.org/officeDocument/2006/relationships/settings" Target="settings.xml"/><Relationship Id="rId12" Type="http://schemas.openxmlformats.org/officeDocument/2006/relationships/hyperlink" Target="https://docs.google.com/document/d/1qfQMUWeRFbHHdSeYB6-j8Hppa8fOl8gp5Evsu1kUtgA/edit?usp=drive_web&amp;tab=t.vecydnbgpf7r" TargetMode="External"/><Relationship Id="rId17" Type="http://schemas.openxmlformats.org/officeDocument/2006/relationships/hyperlink" Target="file:////Users/angelaarbolida/Downloads/%3ftab=t.vecydnbgpf7r" TargetMode="External"/><Relationship Id="rId25" Type="http://schemas.openxmlformats.org/officeDocument/2006/relationships/hyperlink" Target="file:////Users/angelaarbolida/Downloads/%3ftab=t.vecydnbgpf7r" TargetMode="External"/><Relationship Id="rId33" Type="http://schemas.openxmlformats.org/officeDocument/2006/relationships/hyperlink" Target="file:////Users/angelaarbolida/Downloads/%3ftab=t.vecydnbgpf7r" TargetMode="External"/><Relationship Id="rId38" Type="http://schemas.openxmlformats.org/officeDocument/2006/relationships/hyperlink" Target="file:////Users/angelaarbolida/Downloads/%3ftab=t.vecydnbgpf7r" TargetMode="External"/><Relationship Id="rId46" Type="http://schemas.openxmlformats.org/officeDocument/2006/relationships/fontTable" Target="fontTable.xml"/><Relationship Id="rId20" Type="http://schemas.openxmlformats.org/officeDocument/2006/relationships/hyperlink" Target="file:////Users/angelaarbolida/Downloads/%3ftab=t.vecydnbgpf7r" TargetMode="External"/><Relationship Id="rId41" Type="http://schemas.openxmlformats.org/officeDocument/2006/relationships/hyperlink" Target="file:////Users/angelaarbolida/Downloads/%3ftab=t.vecydnbgpf7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2039</Words>
  <Characters>11628</Characters>
  <Application>Microsoft Office Word</Application>
  <DocSecurity>0</DocSecurity>
  <Lines>96</Lines>
  <Paragraphs>27</Paragraphs>
  <ScaleCrop>false</ScaleCrop>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Angela Arbolida</cp:lastModifiedBy>
  <cp:revision>2</cp:revision>
  <dcterms:created xsi:type="dcterms:W3CDTF">2026-06-09T19:08:00Z</dcterms:created>
  <dcterms:modified xsi:type="dcterms:W3CDTF">2026-06-09T19:08:00Z</dcterms:modified>
</cp:coreProperties>
</file>